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F8" w:rsidRDefault="00A102F8" w:rsidP="00A102F8">
      <w:r>
        <w:t>To aid lesson planning during the day it would be useful if you can bring this form completed with your organisations information. Your organisation’s bid to the WEAHSN may hold some of the answers, so might your line manager.</w:t>
      </w:r>
    </w:p>
    <w:p w:rsidR="00A102F8" w:rsidRDefault="00A102F8" w:rsidP="00A102F8">
      <w:r>
        <w:t>1.</w:t>
      </w:r>
      <w:r>
        <w:tab/>
        <w:t>How many people are you expected to teach?</w:t>
      </w:r>
    </w:p>
    <w:p w:rsidR="00A102F8" w:rsidRDefault="00A102F8" w:rsidP="00A102F8"/>
    <w:p w:rsidR="00A102F8" w:rsidRDefault="00A102F8" w:rsidP="00A102F8">
      <w:bookmarkStart w:id="0" w:name="_GoBack"/>
      <w:bookmarkEnd w:id="0"/>
    </w:p>
    <w:p w:rsidR="00A102F8" w:rsidRDefault="00A102F8" w:rsidP="00A102F8">
      <w:r>
        <w:t>2.</w:t>
      </w:r>
      <w:r>
        <w:tab/>
        <w:t>Who are they? (</w:t>
      </w:r>
      <w:proofErr w:type="gramStart"/>
      <w:r>
        <w:t>clinical/non-clinical</w:t>
      </w:r>
      <w:proofErr w:type="gramEnd"/>
      <w:r>
        <w:t xml:space="preserve">, which band </w:t>
      </w:r>
      <w:r>
        <w:t>etc.</w:t>
      </w:r>
      <w:r>
        <w:t>)</w:t>
      </w:r>
    </w:p>
    <w:p w:rsidR="00A102F8" w:rsidRDefault="00A102F8" w:rsidP="00A102F8"/>
    <w:p w:rsidR="00A102F8" w:rsidRDefault="00A102F8" w:rsidP="00A102F8"/>
    <w:p w:rsidR="00A102F8" w:rsidRDefault="00A102F8" w:rsidP="00A102F8">
      <w:r>
        <w:t>3.</w:t>
      </w:r>
      <w:r>
        <w:tab/>
        <w:t>How many sessions will you teach? How many hours do you have to teach?</w:t>
      </w:r>
    </w:p>
    <w:p w:rsidR="00A102F8" w:rsidRDefault="00A102F8" w:rsidP="00A102F8"/>
    <w:p w:rsidR="00A102F8" w:rsidRDefault="00A102F8" w:rsidP="00A102F8"/>
    <w:p w:rsidR="00A102F8" w:rsidRDefault="00A102F8" w:rsidP="00A102F8">
      <w:r>
        <w:t>4.</w:t>
      </w:r>
      <w:r>
        <w:tab/>
        <w:t>Will your lesson be based in a classroom/conference/e-learning/seminar/one to one session/cascade training?</w:t>
      </w:r>
    </w:p>
    <w:p w:rsidR="00A102F8" w:rsidRDefault="00A102F8" w:rsidP="00A102F8"/>
    <w:p w:rsidR="00A102F8" w:rsidRDefault="00A102F8" w:rsidP="00A102F8"/>
    <w:p w:rsidR="00A102F8" w:rsidRDefault="00A102F8" w:rsidP="00A102F8">
      <w:r>
        <w:t>5.</w:t>
      </w:r>
      <w:r>
        <w:tab/>
        <w:t>What resources are available to you for this? (Not just financial, think laptop, projectors, pens, paper etc.)</w:t>
      </w:r>
    </w:p>
    <w:p w:rsidR="00A102F8" w:rsidRDefault="00A102F8" w:rsidP="00A102F8"/>
    <w:p w:rsidR="00A102F8" w:rsidRDefault="00A102F8" w:rsidP="00A102F8"/>
    <w:p w:rsidR="00A102F8" w:rsidRDefault="00A102F8" w:rsidP="00A102F8">
      <w:r>
        <w:t>6.</w:t>
      </w:r>
      <w:r>
        <w:tab/>
        <w:t>What is the main human factors message your organisation wish to teach?</w:t>
      </w:r>
    </w:p>
    <w:p w:rsidR="00A102F8" w:rsidRDefault="00A102F8" w:rsidP="00A102F8"/>
    <w:p w:rsidR="00A102F8" w:rsidRDefault="00A102F8" w:rsidP="00A102F8"/>
    <w:p w:rsidR="008C01A4" w:rsidRPr="004C67B8" w:rsidRDefault="00A102F8" w:rsidP="00A102F8">
      <w:r>
        <w:t>7.</w:t>
      </w:r>
      <w:r>
        <w:tab/>
        <w:t>How will you know you have been successful?</w:t>
      </w:r>
    </w:p>
    <w:sectPr w:rsidR="008C01A4" w:rsidRPr="004C67B8" w:rsidSect="004C67B8">
      <w:headerReference w:type="default" r:id="rId8"/>
      <w:footerReference w:type="default" r:id="rId9"/>
      <w:footerReference w:type="first" r:id="rId10"/>
      <w:pgSz w:w="11906" w:h="16838"/>
      <w:pgMar w:top="680" w:right="1440" w:bottom="1440" w:left="1440"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F8" w:rsidRDefault="00A102F8" w:rsidP="008C01A4">
      <w:pPr>
        <w:spacing w:after="0" w:line="240" w:lineRule="auto"/>
      </w:pPr>
      <w:r>
        <w:separator/>
      </w:r>
    </w:p>
  </w:endnote>
  <w:endnote w:type="continuationSeparator" w:id="0">
    <w:p w:rsidR="00A102F8" w:rsidRDefault="00A102F8" w:rsidP="008C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28864"/>
      <w:docPartObj>
        <w:docPartGallery w:val="Page Numbers (Bottom of Page)"/>
        <w:docPartUnique/>
      </w:docPartObj>
    </w:sdtPr>
    <w:sdtEndPr>
      <w:rPr>
        <w:noProof/>
        <w:sz w:val="2"/>
        <w:szCs w:val="2"/>
      </w:rPr>
    </w:sdtEndPr>
    <w:sdtContent>
      <w:p w:rsidR="004C67B8" w:rsidRDefault="004C67B8" w:rsidP="004C67B8">
        <w:pPr>
          <w:pStyle w:val="Footer"/>
          <w:rPr>
            <w:sz w:val="2"/>
            <w:szCs w:val="2"/>
          </w:rPr>
        </w:pPr>
      </w:p>
      <w:p w:rsidR="004C67B8" w:rsidRPr="007A545B" w:rsidRDefault="004C67B8" w:rsidP="004C67B8">
        <w:r>
          <w:rPr>
            <w:noProof/>
            <w:lang w:eastAsia="en-GB"/>
          </w:rPr>
          <mc:AlternateContent>
            <mc:Choice Requires="wps">
              <w:drawing>
                <wp:anchor distT="0" distB="0" distL="114300" distR="114300" simplePos="0" relativeHeight="251661312" behindDoc="0" locked="0" layoutInCell="1" allowOverlap="1" wp14:anchorId="3F7CBDFF" wp14:editId="2F91BE33">
                  <wp:simplePos x="0" y="0"/>
                  <wp:positionH relativeFrom="column">
                    <wp:posOffset>-1133475</wp:posOffset>
                  </wp:positionH>
                  <wp:positionV relativeFrom="paragraph">
                    <wp:posOffset>94615</wp:posOffset>
                  </wp:positionV>
                  <wp:extent cx="8218583" cy="121186"/>
                  <wp:effectExtent l="0" t="0" r="0" b="0"/>
                  <wp:wrapNone/>
                  <wp:docPr id="5" name="Rectangle 5"/>
                  <wp:cNvGraphicFramePr/>
                  <a:graphic xmlns:a="http://schemas.openxmlformats.org/drawingml/2006/main">
                    <a:graphicData uri="http://schemas.microsoft.com/office/word/2010/wordprocessingShape">
                      <wps:wsp>
                        <wps:cNvSpPr/>
                        <wps:spPr>
                          <a:xfrm>
                            <a:off x="0" y="0"/>
                            <a:ext cx="8218583" cy="1211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89.25pt;margin-top:7.45pt;width:647.15pt;height: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WPjwIAAIgFAAAOAAAAZHJzL2Uyb0RvYy54bWysVE1vGyEQvVfqf0Dcm/Vu49S1so6sRKkq&#10;RWmUpMqZsOBFAoYC9tr99R3Yj7hp1ENVHzAwb94wb2fm/GJvNNkJHxTYmpYnM0qE5dAou6np98fr&#10;DwtKQmS2YRqsqOlBBHqxev/uvHNLUUELuhGeIIkNy87VtI3RLYsi8FYYFk7ACYtGCd6wiEe/KRrP&#10;OmQ3uqhms7OiA984D1yEgLdXvZGuMr+UgsdvUgYRia4pvi3m1ef1Oa3F6pwtN565VvHhGewfXmGY&#10;shh0orpikZGtV39QGcU9BJDxhIMpQErFRc4Bsylnr7J5aJkTORcUJ7hJpvD/aPnt7s4T1dR0Toll&#10;Bj/RPYrG7EYLMk/ydC4sEfXg7vxwCrhNue6lN+kfsyD7LOlhklTsI+F4uajKxXzxkRKOtrIqy8VZ&#10;Ii1evJ0P8YsAQ9Kmph6jZyXZ7ibEHjpCUrAAWjXXSut8SGUiLrUnO4YfmHEubKyGAL8htU14C8mz&#10;J003RUquTyfv4kGLhNP2XkhUBROo8mNyPb4OVPamljWijz+f4W+MPj4tJ5sJE7PE+BP3QDAij5Mo&#10;B5oBn1xFLufJefa3h/UpTh45Mtg4ORtlwb9FoOMUucePIvXSJJWeoTlgzXjomyk4fq3w092wEO+Y&#10;x+7BPsOJEL/hIjV0NYVhR0kL/udb9wmPRY1WSjrsxpqGH1vmBSX6q8Vy/1yenqb2zYfT+acKD/7Y&#10;8nxssVtzCVgPJc4ex/M24aMet9KDecLBsU5R0cQsx9g15dGPh8vYTwkcPVys1xmGLetYvLEPjify&#10;pGoqzcf9E/NuqN+IlX8LY+ey5asy7rHJ08J6G0GqXOMvug56Y7vnwhlGU5onx+eMehmgq18AAAD/&#10;/wMAUEsDBBQABgAIAAAAIQB5NKhQ3wAAAAsBAAAPAAAAZHJzL2Rvd25yZXYueG1sTI9BTsMwEEX3&#10;SNzBGiR2rR1ISQhxKoSE6AJVauEAbjyNo9rjKHbacHvcFSxH/+nP+/V6dpadcQy9JwnZUgBDar3u&#10;qZPw/fW+KIGFqEgr6wkl/GCAdXN7U6tK+wvt8LyPHUslFColwcQ4VJyH1qBTYekHpJQd/ehUTOfY&#10;cT2qSyp3lj8I8cSd6il9MGrAN4PtaT85CVaoCYtduT2aj46KPGzs52kj5f3d/PoCLOIc/2C46id1&#10;aJLTwU+kA7MSFllRrhKbkvwZ2JXIslVac5DwmAvgTc3/b2h+AQAA//8DAFBLAQItABQABgAIAAAA&#10;IQC2gziS/gAAAOEBAAATAAAAAAAAAAAAAAAAAAAAAABbQ29udGVudF9UeXBlc10ueG1sUEsBAi0A&#10;FAAGAAgAAAAhADj9If/WAAAAlAEAAAsAAAAAAAAAAAAAAAAALwEAAF9yZWxzLy5yZWxzUEsBAi0A&#10;FAAGAAgAAAAhAPCVdY+PAgAAiAUAAA4AAAAAAAAAAAAAAAAALgIAAGRycy9lMm9Eb2MueG1sUEsB&#10;Ai0AFAAGAAgAAAAhAHk0qFDfAAAACwEAAA8AAAAAAAAAAAAAAAAA6QQAAGRycy9kb3ducmV2Lnht&#10;bFBLBQYAAAAABAAEAPMAAAD1BQAAAAA=&#10;" fillcolor="#573a6d [3205]" stroked="f" strokeweight="2pt"/>
              </w:pict>
            </mc:Fallback>
          </mc:AlternateContent>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2413"/>
        </w:tblGrid>
        <w:tr w:rsidR="004C67B8" w:rsidRPr="007A545B" w:rsidTr="00ED71B8">
          <w:tc>
            <w:tcPr>
              <w:tcW w:w="8219" w:type="dxa"/>
              <w:vAlign w:val="bottom"/>
            </w:tcPr>
            <w:p w:rsidR="004C67B8" w:rsidRDefault="004C67B8" w:rsidP="00ED71B8">
              <w:pPr>
                <w:pStyle w:val="Footer"/>
                <w:rPr>
                  <w:b/>
                  <w:sz w:val="18"/>
                  <w:szCs w:val="18"/>
                </w:rPr>
              </w:pPr>
              <w:r w:rsidRPr="007A545B">
                <w:rPr>
                  <w:sz w:val="18"/>
                  <w:szCs w:val="18"/>
                </w:rPr>
                <w:t xml:space="preserve">This document is part of the toolkit for </w:t>
              </w:r>
              <w:r w:rsidRPr="007A545B">
                <w:rPr>
                  <w:b/>
                  <w:sz w:val="18"/>
                  <w:szCs w:val="18"/>
                </w:rPr>
                <w:t>Building capacity to support human factors in patient safety</w:t>
              </w:r>
            </w:p>
            <w:p w:rsidR="004C67B8" w:rsidRPr="00E06279" w:rsidRDefault="00A102F8" w:rsidP="00ED71B8">
              <w:pPr>
                <w:pStyle w:val="Footer"/>
                <w:rPr>
                  <w:b/>
                  <w:color w:val="573A6D" w:themeColor="accent2"/>
                  <w:sz w:val="18"/>
                  <w:szCs w:val="18"/>
                </w:rPr>
              </w:pPr>
              <w:hyperlink r:id="rId1" w:history="1">
                <w:r w:rsidR="004C67B8" w:rsidRPr="00E06279">
                  <w:rPr>
                    <w:rStyle w:val="Hyperlink"/>
                    <w:b/>
                    <w:color w:val="573A6D" w:themeColor="accent2"/>
                    <w:sz w:val="18"/>
                    <w:szCs w:val="18"/>
                  </w:rPr>
                  <w:t>http://www.weahsn.net/what-we-do/enhancing-patient-safety/patient-safety-priorities/human-factors/</w:t>
                </w:r>
              </w:hyperlink>
            </w:p>
            <w:p w:rsidR="004C67B8" w:rsidRPr="007A545B" w:rsidRDefault="004C67B8" w:rsidP="00ED71B8">
              <w:pPr>
                <w:pStyle w:val="Footer"/>
                <w:rPr>
                  <w:sz w:val="18"/>
                  <w:szCs w:val="18"/>
                </w:rPr>
              </w:pPr>
              <w:r w:rsidRPr="007A545B">
                <w:rPr>
                  <w:sz w:val="18"/>
                  <w:szCs w:val="18"/>
                </w:rPr>
                <w:t>Published: January 2016</w:t>
              </w:r>
            </w:p>
          </w:tc>
          <w:tc>
            <w:tcPr>
              <w:tcW w:w="2413" w:type="dxa"/>
            </w:tcPr>
            <w:p w:rsidR="004C67B8" w:rsidRPr="007A545B" w:rsidRDefault="004C67B8" w:rsidP="00ED71B8">
              <w:pPr>
                <w:pStyle w:val="Footer"/>
                <w:jc w:val="right"/>
                <w:rPr>
                  <w:sz w:val="18"/>
                  <w:szCs w:val="18"/>
                </w:rPr>
              </w:pPr>
              <w:r w:rsidRPr="007A545B">
                <w:rPr>
                  <w:noProof/>
                  <w:sz w:val="18"/>
                  <w:szCs w:val="18"/>
                  <w:lang w:eastAsia="en-GB"/>
                </w:rPr>
                <w:drawing>
                  <wp:inline distT="0" distB="0" distL="0" distR="0" wp14:anchorId="053A66D9" wp14:editId="2C884EC7">
                    <wp:extent cx="1395134" cy="56270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2">
                              <a:extLst>
                                <a:ext uri="{28A0092B-C50C-407E-A947-70E740481C1C}">
                                  <a14:useLocalDpi xmlns:a14="http://schemas.microsoft.com/office/drawing/2010/main" val="0"/>
                                </a:ext>
                              </a:extLst>
                            </a:blip>
                            <a:stretch>
                              <a:fillRect/>
                            </a:stretch>
                          </pic:blipFill>
                          <pic:spPr>
                            <a:xfrm>
                              <a:off x="0" y="0"/>
                              <a:ext cx="1405223" cy="566774"/>
                            </a:xfrm>
                            <a:prstGeom prst="rect">
                              <a:avLst/>
                            </a:prstGeom>
                          </pic:spPr>
                        </pic:pic>
                      </a:graphicData>
                    </a:graphic>
                  </wp:inline>
                </w:drawing>
              </w:r>
            </w:p>
          </w:tc>
        </w:tr>
      </w:tbl>
      <w:p w:rsidR="004C67B8" w:rsidRDefault="004C67B8" w:rsidP="004C67B8">
        <w:pPr>
          <w:pStyle w:val="Footer"/>
          <w:rPr>
            <w:sz w:val="2"/>
            <w:szCs w:val="2"/>
          </w:rPr>
        </w:pPr>
      </w:p>
      <w:p w:rsidR="008C01A4" w:rsidRPr="004C67B8" w:rsidRDefault="00A102F8" w:rsidP="004C67B8">
        <w:pPr>
          <w:pStyle w:val="Footer"/>
          <w:rPr>
            <w:sz w:val="2"/>
            <w:szCs w:val="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5B" w:rsidRDefault="007A545B" w:rsidP="00387311">
    <w:pPr>
      <w:pStyle w:val="Footer"/>
      <w:rPr>
        <w:sz w:val="2"/>
        <w:szCs w:val="2"/>
      </w:rPr>
    </w:pPr>
  </w:p>
  <w:p w:rsidR="004C67B8" w:rsidRPr="007A545B" w:rsidRDefault="004C67B8" w:rsidP="004C67B8">
    <w:r>
      <w:rPr>
        <w:noProof/>
        <w:lang w:eastAsia="en-GB"/>
      </w:rPr>
      <mc:AlternateContent>
        <mc:Choice Requires="wps">
          <w:drawing>
            <wp:anchor distT="0" distB="0" distL="114300" distR="114300" simplePos="0" relativeHeight="251659264" behindDoc="0" locked="0" layoutInCell="1" allowOverlap="1" wp14:anchorId="0442E7C3" wp14:editId="15C1D18D">
              <wp:simplePos x="0" y="0"/>
              <wp:positionH relativeFrom="column">
                <wp:posOffset>-1133475</wp:posOffset>
              </wp:positionH>
              <wp:positionV relativeFrom="paragraph">
                <wp:posOffset>31115</wp:posOffset>
              </wp:positionV>
              <wp:extent cx="8218583" cy="121186"/>
              <wp:effectExtent l="0" t="0" r="0" b="0"/>
              <wp:wrapNone/>
              <wp:docPr id="4" name="Rectangle 4"/>
              <wp:cNvGraphicFramePr/>
              <a:graphic xmlns:a="http://schemas.openxmlformats.org/drawingml/2006/main">
                <a:graphicData uri="http://schemas.microsoft.com/office/word/2010/wordprocessingShape">
                  <wps:wsp>
                    <wps:cNvSpPr/>
                    <wps:spPr>
                      <a:xfrm>
                        <a:off x="0" y="0"/>
                        <a:ext cx="8218583" cy="1211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89.25pt;margin-top:2.45pt;width:647.15pt;height: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Y6jwIAAIgFAAAOAAAAZHJzL2Uyb0RvYy54bWysVE1vGyEQvVfqf0Dcm/VundS1so6sRKkq&#10;RWmUpMqZsOBFAoYC9tr99R3Yj7hp1ENVHzAwb94wb2fm/GJvNNkJHxTYmpYnM0qE5dAou6np98fr&#10;DwtKQmS2YRqsqOlBBHqxev/uvHNLUUELuhGeIIkNy87VtI3RLYsi8FYYFk7ACYtGCd6wiEe/KRrP&#10;OmQ3uqhms7OiA984D1yEgLdXvZGuMr+UgsdvUgYRia4pvi3m1ef1Oa3F6pwtN565VvHhGewfXmGY&#10;shh0orpikZGtV39QGcU9BJDxhIMpQErFRc4Bsylnr7J5aJkTORcUJ7hJpvD/aPnt7s4T1dR0Toll&#10;Bj/RPYrG7EYLMk/ydC4sEfXg7vxwCrhNue6lN+kfsyD7LOlhklTsI+F4uajKxeniIyUcbWVVlouz&#10;RFq8eDsf4hcBhqRNTT1Gz0qy3U2IPXSEpGABtGquldb5kMpEXGpPdgw/MONc2FgNAX5DapvwFpJn&#10;T5puipRcn07exYMWCaftvZCoCiZQ5cfkenwdqOxNLWtEH/90hr8x+vi0nGwmTMwS40/cA8GIPE6i&#10;HGgGfHIVuZwn59nfHtanOHnkyGDj5GyUBf8WgY5T5B4/itRLk1R6huaANeOhb6bg+LXCT3fDQrxj&#10;HrsH+wwnQvyGi9TQ1RSGHSUt+J9v3Sc8FjVaKemwG2safmyZF5TorxbL/XM5n6f2zYf56acKD/7Y&#10;8nxssVtzCVgPJc4ex/M24aMet9KDecLBsU5R0cQsx9g15dGPh8vYTwkcPVys1xmGLetYvLEPjify&#10;pGoqzcf9E/NuqN+IlX8LY+ey5asy7rHJ08J6G0GqXOMvug56Y7vnwhlGU5onx+eMehmgq18AAAD/&#10;/wMAUEsDBBQABgAIAAAAIQARXaZm3wAAAAoBAAAPAAAAZHJzL2Rvd25yZXYueG1sTI9BTsMwEEX3&#10;SNzBGiR2rZ0qJSHEqRASoguE1JYDuPE0jmqPo9hpw+1xV7AczdP/79eb2Vl2wTH0niRkSwEMqfW6&#10;p07C9+F9UQILUZFW1hNK+MEAm+b+rlaV9lfa4WUfO5ZCKFRKgolxqDgPrUGnwtIPSOl38qNTMZ1j&#10;x/WorincWb4S4ok71VNqMGrAN4PteT85CVaoCYtd+XUyHx0Vedjaz/NWyseH+fUFWMQ5/sFw00/q&#10;0CSno59IB2YlLLKiXCdWQv4M7AZk2TqNOUpY5QJ4U/P/E5pfAAAA//8DAFBLAQItABQABgAIAAAA&#10;IQC2gziS/gAAAOEBAAATAAAAAAAAAAAAAAAAAAAAAABbQ29udGVudF9UeXBlc10ueG1sUEsBAi0A&#10;FAAGAAgAAAAhADj9If/WAAAAlAEAAAsAAAAAAAAAAAAAAAAALwEAAF9yZWxzLy5yZWxzUEsBAi0A&#10;FAAGAAgAAAAhAK3JtjqPAgAAiAUAAA4AAAAAAAAAAAAAAAAALgIAAGRycy9lMm9Eb2MueG1sUEsB&#10;Ai0AFAAGAAgAAAAhABFdpmbfAAAACgEAAA8AAAAAAAAAAAAAAAAA6QQAAGRycy9kb3ducmV2Lnht&#10;bFBLBQYAAAAABAAEAPMAAAD1BQAAAAA=&#10;" fillcolor="#573a6d [3205]" stroked="f" strokeweight="2pt"/>
          </w:pict>
        </mc:Fallback>
      </mc:AlternateContent>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2413"/>
    </w:tblGrid>
    <w:tr w:rsidR="007A545B" w:rsidRPr="007A545B" w:rsidTr="004C67B8">
      <w:tc>
        <w:tcPr>
          <w:tcW w:w="8219" w:type="dxa"/>
          <w:vAlign w:val="bottom"/>
        </w:tcPr>
        <w:p w:rsidR="004C67B8" w:rsidRDefault="007A545B" w:rsidP="007A545B">
          <w:pPr>
            <w:pStyle w:val="Footer"/>
            <w:rPr>
              <w:b/>
              <w:sz w:val="18"/>
              <w:szCs w:val="18"/>
            </w:rPr>
          </w:pPr>
          <w:r w:rsidRPr="007A545B">
            <w:rPr>
              <w:sz w:val="18"/>
              <w:szCs w:val="18"/>
            </w:rPr>
            <w:t xml:space="preserve">This document is part of the toolkit for </w:t>
          </w:r>
          <w:r w:rsidRPr="007A545B">
            <w:rPr>
              <w:b/>
              <w:sz w:val="18"/>
              <w:szCs w:val="18"/>
            </w:rPr>
            <w:t>Building capacity to support human factors in patient safety</w:t>
          </w:r>
        </w:p>
        <w:p w:rsidR="007A545B" w:rsidRDefault="00A102F8" w:rsidP="007A545B">
          <w:pPr>
            <w:pStyle w:val="Footer"/>
            <w:rPr>
              <w:sz w:val="18"/>
              <w:szCs w:val="18"/>
            </w:rPr>
          </w:pPr>
          <w:hyperlink r:id="rId1" w:history="1">
            <w:r w:rsidR="007A545B" w:rsidRPr="007A545B">
              <w:rPr>
                <w:rStyle w:val="Hyperlink"/>
                <w:sz w:val="18"/>
                <w:szCs w:val="18"/>
              </w:rPr>
              <w:t>http://www.weahsn.net/what-we-do/enhancing-patient-safety/patient-safety-priorities/human-factors/</w:t>
            </w:r>
          </w:hyperlink>
        </w:p>
        <w:p w:rsidR="007A545B" w:rsidRPr="007A545B" w:rsidRDefault="007A545B" w:rsidP="007A545B">
          <w:pPr>
            <w:pStyle w:val="Footer"/>
            <w:rPr>
              <w:sz w:val="18"/>
              <w:szCs w:val="18"/>
            </w:rPr>
          </w:pPr>
          <w:r w:rsidRPr="007A545B">
            <w:rPr>
              <w:sz w:val="18"/>
              <w:szCs w:val="18"/>
            </w:rPr>
            <w:t>Published: January 2016</w:t>
          </w:r>
        </w:p>
      </w:tc>
      <w:tc>
        <w:tcPr>
          <w:tcW w:w="2413" w:type="dxa"/>
        </w:tcPr>
        <w:p w:rsidR="007A545B" w:rsidRPr="007A545B" w:rsidRDefault="007A545B" w:rsidP="007A545B">
          <w:pPr>
            <w:pStyle w:val="Footer"/>
            <w:jc w:val="right"/>
            <w:rPr>
              <w:sz w:val="18"/>
              <w:szCs w:val="18"/>
            </w:rPr>
          </w:pPr>
          <w:r w:rsidRPr="007A545B">
            <w:rPr>
              <w:noProof/>
              <w:sz w:val="18"/>
              <w:szCs w:val="18"/>
              <w:lang w:eastAsia="en-GB"/>
            </w:rPr>
            <w:drawing>
              <wp:inline distT="0" distB="0" distL="0" distR="0" wp14:anchorId="4790BA0E" wp14:editId="163E8EE5">
                <wp:extent cx="1395134" cy="5627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2">
                          <a:extLst>
                            <a:ext uri="{28A0092B-C50C-407E-A947-70E740481C1C}">
                              <a14:useLocalDpi xmlns:a14="http://schemas.microsoft.com/office/drawing/2010/main" val="0"/>
                            </a:ext>
                          </a:extLst>
                        </a:blip>
                        <a:stretch>
                          <a:fillRect/>
                        </a:stretch>
                      </pic:blipFill>
                      <pic:spPr>
                        <a:xfrm>
                          <a:off x="0" y="0"/>
                          <a:ext cx="1405223" cy="566774"/>
                        </a:xfrm>
                        <a:prstGeom prst="rect">
                          <a:avLst/>
                        </a:prstGeom>
                      </pic:spPr>
                    </pic:pic>
                  </a:graphicData>
                </a:graphic>
              </wp:inline>
            </w:drawing>
          </w:r>
        </w:p>
      </w:tc>
    </w:tr>
  </w:tbl>
  <w:p w:rsidR="007A545B" w:rsidRPr="007A545B" w:rsidRDefault="007A545B" w:rsidP="007A545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F8" w:rsidRDefault="00A102F8" w:rsidP="008C01A4">
      <w:pPr>
        <w:spacing w:after="0" w:line="240" w:lineRule="auto"/>
      </w:pPr>
      <w:r>
        <w:separator/>
      </w:r>
    </w:p>
  </w:footnote>
  <w:footnote w:type="continuationSeparator" w:id="0">
    <w:p w:rsidR="00A102F8" w:rsidRDefault="00A102F8" w:rsidP="008C0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B8" w:rsidRDefault="00A102F8" w:rsidP="00A102F8">
    <w:pPr>
      <w:pStyle w:val="Heading1"/>
    </w:pPr>
    <w:r w:rsidRPr="00A102F8">
      <w:t>Preparation for Human Factors Train the Trainers 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A319E"/>
    <w:multiLevelType w:val="hybridMultilevel"/>
    <w:tmpl w:val="34ECCC28"/>
    <w:lvl w:ilvl="0" w:tplc="08090019">
      <w:start w:val="1"/>
      <w:numFmt w:val="lowerLetter"/>
      <w:lvlText w:val="%1."/>
      <w:lvlJc w:val="left"/>
      <w:pPr>
        <w:ind w:left="705" w:hanging="360"/>
      </w:p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start w:val="1"/>
      <w:numFmt w:val="decimal"/>
      <w:lvlText w:val="%4."/>
      <w:lvlJc w:val="left"/>
      <w:pPr>
        <w:ind w:left="2865" w:hanging="360"/>
      </w:pPr>
    </w:lvl>
    <w:lvl w:ilvl="4" w:tplc="08090019">
      <w:start w:val="1"/>
      <w:numFmt w:val="lowerLetter"/>
      <w:lvlText w:val="%5."/>
      <w:lvlJc w:val="left"/>
      <w:pPr>
        <w:ind w:left="3585" w:hanging="360"/>
      </w:pPr>
    </w:lvl>
    <w:lvl w:ilvl="5" w:tplc="0809001B">
      <w:start w:val="1"/>
      <w:numFmt w:val="lowerRoman"/>
      <w:lvlText w:val="%6."/>
      <w:lvlJc w:val="right"/>
      <w:pPr>
        <w:ind w:left="4305" w:hanging="180"/>
      </w:pPr>
    </w:lvl>
    <w:lvl w:ilvl="6" w:tplc="0809000F">
      <w:start w:val="1"/>
      <w:numFmt w:val="decimal"/>
      <w:lvlText w:val="%7."/>
      <w:lvlJc w:val="left"/>
      <w:pPr>
        <w:ind w:left="5025" w:hanging="360"/>
      </w:pPr>
    </w:lvl>
    <w:lvl w:ilvl="7" w:tplc="08090019">
      <w:start w:val="1"/>
      <w:numFmt w:val="lowerLetter"/>
      <w:lvlText w:val="%8."/>
      <w:lvlJc w:val="left"/>
      <w:pPr>
        <w:ind w:left="5745" w:hanging="360"/>
      </w:pPr>
    </w:lvl>
    <w:lvl w:ilvl="8" w:tplc="0809001B">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F8"/>
    <w:rsid w:val="00037AF9"/>
    <w:rsid w:val="00070ED6"/>
    <w:rsid w:val="00143400"/>
    <w:rsid w:val="001C3D1E"/>
    <w:rsid w:val="00214512"/>
    <w:rsid w:val="00387311"/>
    <w:rsid w:val="003D3177"/>
    <w:rsid w:val="0045305A"/>
    <w:rsid w:val="004C67B8"/>
    <w:rsid w:val="00520D1C"/>
    <w:rsid w:val="00546A41"/>
    <w:rsid w:val="00645048"/>
    <w:rsid w:val="007A545B"/>
    <w:rsid w:val="007D1ACD"/>
    <w:rsid w:val="008C01A4"/>
    <w:rsid w:val="00A102F8"/>
    <w:rsid w:val="00BC6265"/>
    <w:rsid w:val="00C82A05"/>
    <w:rsid w:val="00CC6C8A"/>
    <w:rsid w:val="00D71709"/>
    <w:rsid w:val="00E06279"/>
    <w:rsid w:val="00E5401C"/>
    <w:rsid w:val="00E85B79"/>
    <w:rsid w:val="00FE3917"/>
    <w:rsid w:val="00FF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D1C"/>
    <w:pPr>
      <w:keepNext/>
      <w:keepLines/>
      <w:outlineLvl w:val="0"/>
    </w:pPr>
    <w:rPr>
      <w:rFonts w:asciiTheme="majorHAnsi" w:eastAsia="Calibri" w:hAnsiTheme="majorHAnsi" w:cs="Arial"/>
      <w:b/>
      <w:bCs/>
      <w:color w:val="573A6D" w:themeColor="accent2"/>
      <w:sz w:val="28"/>
      <w:szCs w:val="28"/>
      <w:lang w:eastAsia="en-GB"/>
    </w:rPr>
  </w:style>
  <w:style w:type="paragraph" w:styleId="Heading2">
    <w:name w:val="heading 2"/>
    <w:basedOn w:val="Normal"/>
    <w:next w:val="Normal"/>
    <w:link w:val="Heading2Char"/>
    <w:uiPriority w:val="9"/>
    <w:unhideWhenUsed/>
    <w:qFormat/>
    <w:rsid w:val="008C01A4"/>
    <w:pPr>
      <w:keepNext/>
      <w:keepLines/>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573A6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520D1C"/>
    <w:rPr>
      <w:rFonts w:asciiTheme="majorHAnsi" w:eastAsia="Calibri" w:hAnsiTheme="majorHAnsi" w:cs="Arial"/>
      <w:b/>
      <w:bCs/>
      <w:color w:val="573A6D" w:themeColor="accent2"/>
      <w:sz w:val="28"/>
      <w:szCs w:val="28"/>
      <w:lang w:eastAsia="en-GB"/>
    </w:rPr>
  </w:style>
  <w:style w:type="character" w:customStyle="1" w:styleId="Heading2Char">
    <w:name w:val="Heading 2 Char"/>
    <w:basedOn w:val="DefaultParagraphFont"/>
    <w:link w:val="Heading2"/>
    <w:uiPriority w:val="9"/>
    <w:rsid w:val="008C01A4"/>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573A6D"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AB8DC2"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AB8DC2" w:themeColor="followedHyperlink"/>
      <w:u w:val="single"/>
    </w:rPr>
  </w:style>
  <w:style w:type="table" w:styleId="TableGrid">
    <w:name w:val="Table Grid"/>
    <w:basedOn w:val="TableNormal"/>
    <w:uiPriority w:val="59"/>
    <w:rsid w:val="007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D1C"/>
    <w:pPr>
      <w:keepNext/>
      <w:keepLines/>
      <w:outlineLvl w:val="0"/>
    </w:pPr>
    <w:rPr>
      <w:rFonts w:asciiTheme="majorHAnsi" w:eastAsia="Calibri" w:hAnsiTheme="majorHAnsi" w:cs="Arial"/>
      <w:b/>
      <w:bCs/>
      <w:color w:val="573A6D" w:themeColor="accent2"/>
      <w:sz w:val="28"/>
      <w:szCs w:val="28"/>
      <w:lang w:eastAsia="en-GB"/>
    </w:rPr>
  </w:style>
  <w:style w:type="paragraph" w:styleId="Heading2">
    <w:name w:val="heading 2"/>
    <w:basedOn w:val="Normal"/>
    <w:next w:val="Normal"/>
    <w:link w:val="Heading2Char"/>
    <w:uiPriority w:val="9"/>
    <w:unhideWhenUsed/>
    <w:qFormat/>
    <w:rsid w:val="008C01A4"/>
    <w:pPr>
      <w:keepNext/>
      <w:keepLines/>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573A6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520D1C"/>
    <w:rPr>
      <w:rFonts w:asciiTheme="majorHAnsi" w:eastAsia="Calibri" w:hAnsiTheme="majorHAnsi" w:cs="Arial"/>
      <w:b/>
      <w:bCs/>
      <w:color w:val="573A6D" w:themeColor="accent2"/>
      <w:sz w:val="28"/>
      <w:szCs w:val="28"/>
      <w:lang w:eastAsia="en-GB"/>
    </w:rPr>
  </w:style>
  <w:style w:type="character" w:customStyle="1" w:styleId="Heading2Char">
    <w:name w:val="Heading 2 Char"/>
    <w:basedOn w:val="DefaultParagraphFont"/>
    <w:link w:val="Heading2"/>
    <w:uiPriority w:val="9"/>
    <w:rsid w:val="008C01A4"/>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573A6D"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AB8DC2"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AB8DC2" w:themeColor="followedHyperlink"/>
      <w:u w:val="single"/>
    </w:rPr>
  </w:style>
  <w:style w:type="table" w:styleId="TableGrid">
    <w:name w:val="Table Grid"/>
    <w:basedOn w:val="TableNormal"/>
    <w:uiPriority w:val="59"/>
    <w:rsid w:val="007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eahsn.net/what-we-do/enhancing-patient-safety/patient-safety-priorities/human-fact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eahsn.net/what-we-do/enhancing-patient-safety/patient-safety-priorities/human-fac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atient%20Safety%20Workstream\4.%20Human%20Factors\toolkit_development\appendix_template.dotx" TargetMode="External"/></Relationships>
</file>

<file path=word/theme/theme1.xml><?xml version="1.0" encoding="utf-8"?>
<a:theme xmlns:a="http://schemas.openxmlformats.org/drawingml/2006/main" name="Office Theme">
  <a:themeElements>
    <a:clrScheme name="weahs">
      <a:dk1>
        <a:sysClr val="windowText" lastClr="000000"/>
      </a:dk1>
      <a:lt1>
        <a:sysClr val="window" lastClr="FFFFFF"/>
      </a:lt1>
      <a:dk2>
        <a:srgbClr val="1C00EB"/>
      </a:dk2>
      <a:lt2>
        <a:srgbClr val="B7CDD9"/>
      </a:lt2>
      <a:accent1>
        <a:srgbClr val="AB8DC2"/>
      </a:accent1>
      <a:accent2>
        <a:srgbClr val="573A6D"/>
      </a:accent2>
      <a:accent3>
        <a:srgbClr val="5DB6E6"/>
      </a:accent3>
      <a:accent4>
        <a:srgbClr val="00B5DF"/>
      </a:accent4>
      <a:accent5>
        <a:srgbClr val="F47F72"/>
      </a:accent5>
      <a:accent6>
        <a:srgbClr val="E0A2B3"/>
      </a:accent6>
      <a:hlink>
        <a:srgbClr val="AB8DC2"/>
      </a:hlink>
      <a:folHlink>
        <a:srgbClr val="AB8DC2"/>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appendix_template</Template>
  <TotalTime>1</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nathalie.delaney</dc:creator>
  <cp:lastModifiedBy>nathalie.delaney</cp:lastModifiedBy>
  <cp:revision>1</cp:revision>
  <dcterms:created xsi:type="dcterms:W3CDTF">2016-03-15T15:51:00Z</dcterms:created>
  <dcterms:modified xsi:type="dcterms:W3CDTF">2016-03-15T15:52:00Z</dcterms:modified>
</cp:coreProperties>
</file>