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B0" w:rsidRPr="003F7CB0" w:rsidRDefault="003F7CB0" w:rsidP="00D910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leader="underscore" w:pos="8505"/>
          <w:tab w:val="left" w:pos="13608"/>
        </w:tabs>
        <w:spacing w:after="0" w:line="360" w:lineRule="auto"/>
        <w:jc w:val="center"/>
        <w:rPr>
          <w:rFonts w:ascii="Calibri" w:eastAsia="Arial Unicode MS" w:hAnsi="Calibri" w:cs="Arial Unicode MS"/>
          <w:b/>
          <w:caps/>
          <w:color w:val="5F5F5F"/>
          <w:spacing w:val="8"/>
          <w:sz w:val="96"/>
          <w:szCs w:val="28"/>
          <w:bdr w:val="nil"/>
          <w:lang w:val="en-US" w:eastAsia="en-GB"/>
        </w:rPr>
      </w:pPr>
      <w:r w:rsidRPr="003F7CB0">
        <w:rPr>
          <w:rFonts w:ascii="Calibri" w:eastAsia="Arial Unicode MS" w:hAnsi="Calibri" w:cs="Arial Unicode MS"/>
          <w:b/>
          <w:caps/>
          <w:noProof/>
          <w:color w:val="5F5F5F"/>
          <w:spacing w:val="8"/>
          <w:sz w:val="96"/>
          <w:szCs w:val="28"/>
          <w:lang w:eastAsia="en-GB"/>
        </w:rPr>
        <w:drawing>
          <wp:inline distT="0" distB="0" distL="0" distR="0" wp14:anchorId="534B1223" wp14:editId="0203A841">
            <wp:extent cx="1793631" cy="17936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-Certificate-Logo_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065" cy="179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7CB0" w:rsidRPr="003F7CB0" w:rsidRDefault="003F7CB0" w:rsidP="00D910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leader="underscore" w:pos="8505"/>
          <w:tab w:val="left" w:pos="13608"/>
        </w:tabs>
        <w:spacing w:after="0" w:line="360" w:lineRule="auto"/>
        <w:jc w:val="center"/>
        <w:rPr>
          <w:rFonts w:ascii="Calibri" w:eastAsia="Arial Unicode MS" w:hAnsi="Calibri" w:cs="Arial Unicode MS"/>
          <w:b/>
          <w:caps/>
          <w:color w:val="5F5F5F"/>
          <w:spacing w:val="8"/>
          <w:sz w:val="36"/>
          <w:szCs w:val="28"/>
          <w:bdr w:val="nil"/>
          <w:lang w:val="en-US" w:eastAsia="en-GB"/>
        </w:rPr>
      </w:pPr>
      <w:r w:rsidRPr="003F7CB0">
        <w:rPr>
          <w:rFonts w:ascii="Calibri" w:eastAsia="Arial Unicode MS" w:hAnsi="Calibri" w:cs="Arial Unicode MS"/>
          <w:b/>
          <w:caps/>
          <w:color w:val="5F5F5F"/>
          <w:spacing w:val="8"/>
          <w:sz w:val="36"/>
          <w:szCs w:val="28"/>
          <w:bdr w:val="nil"/>
          <w:lang w:val="en-US" w:eastAsia="en-GB"/>
        </w:rPr>
        <w:t>This certifies THAT</w:t>
      </w:r>
    </w:p>
    <w:p w:rsidR="003F7CB0" w:rsidRPr="003F7CB0" w:rsidRDefault="003F7CB0" w:rsidP="00D910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leader="underscore" w:pos="8505"/>
          <w:tab w:val="left" w:pos="13608"/>
        </w:tabs>
        <w:spacing w:after="0" w:line="360" w:lineRule="auto"/>
        <w:jc w:val="center"/>
        <w:rPr>
          <w:rFonts w:ascii="Calibri" w:eastAsia="Arial Unicode MS" w:hAnsi="Calibri" w:cs="Arial Unicode MS"/>
          <w:color w:val="404040"/>
          <w:spacing w:val="8"/>
          <w:sz w:val="36"/>
          <w:szCs w:val="28"/>
          <w:bdr w:val="nil"/>
          <w:lang w:val="en-US" w:eastAsia="en-GB"/>
        </w:rPr>
      </w:pPr>
      <w:r w:rsidRPr="003F7CB0">
        <w:rPr>
          <w:rFonts w:ascii="Calibri" w:eastAsia="Arial Unicode MS" w:hAnsi="Calibri" w:cs="Arial Unicode MS"/>
          <w:caps/>
          <w:color w:val="5F5F5F"/>
          <w:spacing w:val="8"/>
          <w:sz w:val="36"/>
          <w:szCs w:val="28"/>
          <w:bdr w:val="nil"/>
          <w:lang w:val="en-US" w:eastAsia="en-GB"/>
        </w:rPr>
        <w:tab/>
      </w:r>
    </w:p>
    <w:p w:rsidR="003F7CB0" w:rsidRPr="003F7CB0" w:rsidRDefault="003F7CB0" w:rsidP="00D910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leader="underscore" w:pos="8505"/>
          <w:tab w:val="left" w:pos="13608"/>
        </w:tabs>
        <w:spacing w:after="0" w:line="360" w:lineRule="auto"/>
        <w:jc w:val="center"/>
        <w:rPr>
          <w:rFonts w:ascii="Calibri" w:eastAsia="Arial Unicode MS" w:hAnsi="Calibri" w:cs="Arial Unicode MS"/>
          <w:color w:val="404040"/>
          <w:spacing w:val="8"/>
          <w:sz w:val="36"/>
          <w:szCs w:val="28"/>
          <w:bdr w:val="nil"/>
          <w:lang w:val="en-US" w:eastAsia="en-GB"/>
        </w:rPr>
      </w:pPr>
      <w:proofErr w:type="gramStart"/>
      <w:r w:rsidRPr="003F7CB0">
        <w:rPr>
          <w:rFonts w:ascii="Calibri" w:eastAsia="Arial Unicode MS" w:hAnsi="Calibri" w:cs="Arial Unicode MS"/>
          <w:color w:val="404040"/>
          <w:spacing w:val="8"/>
          <w:sz w:val="36"/>
          <w:szCs w:val="28"/>
          <w:bdr w:val="nil"/>
          <w:lang w:val="en-US" w:eastAsia="en-GB"/>
        </w:rPr>
        <w:t>has</w:t>
      </w:r>
      <w:proofErr w:type="gramEnd"/>
      <w:r w:rsidRPr="003F7CB0">
        <w:rPr>
          <w:rFonts w:ascii="Calibri" w:eastAsia="Arial Unicode MS" w:hAnsi="Calibri" w:cs="Arial Unicode MS"/>
          <w:color w:val="404040"/>
          <w:spacing w:val="8"/>
          <w:sz w:val="36"/>
          <w:szCs w:val="28"/>
          <w:bdr w:val="nil"/>
          <w:lang w:val="en-US" w:eastAsia="en-GB"/>
        </w:rPr>
        <w:t xml:space="preserve"> been assessed as competent with Standard 6 of the Care Certificate based on the standards for Health Education England, Skills for Care and Skills for Health</w:t>
      </w:r>
    </w:p>
    <w:p w:rsidR="003F7CB0" w:rsidRPr="003F7CB0" w:rsidRDefault="003F7CB0" w:rsidP="00D910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leader="underscore" w:pos="8505"/>
          <w:tab w:val="left" w:pos="13608"/>
        </w:tabs>
        <w:spacing w:after="0" w:line="360" w:lineRule="auto"/>
        <w:jc w:val="center"/>
        <w:rPr>
          <w:rFonts w:ascii="Calibri" w:eastAsia="Arial Unicode MS" w:hAnsi="Calibri" w:cs="Arial Unicode MS"/>
          <w:b/>
          <w:color w:val="404040"/>
          <w:spacing w:val="8"/>
          <w:sz w:val="36"/>
          <w:szCs w:val="28"/>
          <w:bdr w:val="nil"/>
          <w:lang w:val="en-US" w:eastAsia="en-GB"/>
        </w:rPr>
      </w:pPr>
      <w:r w:rsidRPr="003F7CB0">
        <w:rPr>
          <w:rFonts w:ascii="Calibri" w:eastAsia="Arial Unicode MS" w:hAnsi="Calibri" w:cs="Arial Unicode MS"/>
          <w:b/>
          <w:caps/>
          <w:color w:val="5F5F5F"/>
          <w:spacing w:val="8"/>
          <w:sz w:val="36"/>
          <w:szCs w:val="28"/>
          <w:bdr w:val="nil"/>
          <w:lang w:val="en-US" w:eastAsia="en-GB"/>
        </w:rPr>
        <w:t>Awarding Employer</w:t>
      </w:r>
      <w:r w:rsidRPr="003F7CB0">
        <w:rPr>
          <w:rFonts w:ascii="Calibri" w:eastAsia="Arial Unicode MS" w:hAnsi="Calibri" w:cs="Arial Unicode MS"/>
          <w:b/>
          <w:caps/>
          <w:color w:val="5F5F5F"/>
          <w:spacing w:val="8"/>
          <w:sz w:val="36"/>
          <w:szCs w:val="28"/>
          <w:bdr w:val="nil"/>
          <w:lang w:val="en-US" w:eastAsia="en-GB"/>
        </w:rPr>
        <w:tab/>
      </w:r>
    </w:p>
    <w:p w:rsidR="003F7CB0" w:rsidRPr="003F7CB0" w:rsidRDefault="003F7CB0" w:rsidP="00D910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leader="underscore" w:pos="8505"/>
          <w:tab w:val="left" w:pos="13608"/>
        </w:tabs>
        <w:spacing w:after="0" w:line="360" w:lineRule="auto"/>
        <w:jc w:val="center"/>
        <w:rPr>
          <w:rFonts w:ascii="Helvetica Light" w:eastAsia="Helvetica Light" w:hAnsi="Helvetica Light" w:cs="Helvetica Light"/>
          <w:color w:val="5F5F5F"/>
          <w:spacing w:val="8"/>
          <w:sz w:val="28"/>
          <w:szCs w:val="28"/>
          <w:bdr w:val="nil"/>
          <w:lang w:eastAsia="en-GB"/>
        </w:rPr>
      </w:pPr>
      <w:r w:rsidRPr="003F7CB0">
        <w:rPr>
          <w:rFonts w:ascii="Calibri" w:eastAsia="Arial Unicode MS" w:hAnsi="Calibri" w:cs="Arial Unicode MS"/>
          <w:color w:val="404040"/>
          <w:spacing w:val="8"/>
          <w:sz w:val="36"/>
          <w:szCs w:val="28"/>
          <w:bdr w:val="nil"/>
          <w:lang w:val="en-US" w:eastAsia="en-GB"/>
        </w:rPr>
        <w:t>Date of award</w:t>
      </w:r>
      <w:r w:rsidRPr="003F7CB0">
        <w:rPr>
          <w:rFonts w:ascii="Calibri" w:eastAsia="Arial Unicode MS" w:hAnsi="Calibri" w:cs="Arial Unicode MS"/>
          <w:color w:val="404040"/>
          <w:spacing w:val="8"/>
          <w:sz w:val="36"/>
          <w:szCs w:val="28"/>
          <w:bdr w:val="nil"/>
          <w:lang w:val="en-US" w:eastAsia="en-GB"/>
        </w:rPr>
        <w:tab/>
      </w:r>
    </w:p>
    <w:sectPr w:rsidR="003F7CB0" w:rsidRPr="003F7CB0" w:rsidSect="004C24FD">
      <w:headerReference w:type="default" r:id="rId9"/>
      <w:footerReference w:type="default" r:id="rId10"/>
      <w:footerReference w:type="first" r:id="rId11"/>
      <w:pgSz w:w="16838" w:h="11906" w:orient="landscape"/>
      <w:pgMar w:top="1440" w:right="680" w:bottom="1440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74" w:rsidRDefault="00EF1974" w:rsidP="008C01A4">
      <w:pPr>
        <w:spacing w:after="0" w:line="240" w:lineRule="auto"/>
      </w:pPr>
      <w:r>
        <w:separator/>
      </w:r>
    </w:p>
  </w:endnote>
  <w:endnote w:type="continuationSeparator" w:id="0">
    <w:p w:rsidR="00EF1974" w:rsidRDefault="00EF1974" w:rsidP="008C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28864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4C67B8" w:rsidRPr="007A545B" w:rsidRDefault="004C67B8" w:rsidP="004C67B8"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379E577" wp14:editId="5664E517">
                  <wp:simplePos x="0" y="0"/>
                  <wp:positionH relativeFrom="column">
                    <wp:posOffset>-1136822</wp:posOffset>
                  </wp:positionH>
                  <wp:positionV relativeFrom="paragraph">
                    <wp:posOffset>90170</wp:posOffset>
                  </wp:positionV>
                  <wp:extent cx="10960444" cy="121186"/>
                  <wp:effectExtent l="0" t="0" r="0" b="0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960444" cy="12118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id="Rectangle 5" o:spid="_x0000_s1026" style="position:absolute;margin-left:-89.5pt;margin-top:7.1pt;width:863.05pt;height:9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BXjwIAAIkFAAAOAAAAZHJzL2Uyb0RvYy54bWysVE1vGyEQvVfqf0Dcm9217DSxso6sRKkq&#10;RWmUpMqZsOBFAoYC9tr99R3Yj7hp1ENVHzAwb94wb2fm4nJvNNkJHxTYmlYnJSXCcmiU3dT0+9PN&#10;pzNKQmS2YRqsqOlBBHq5+vjhonNLMYMWdCM8QRIblp2raRujWxZF4K0wLJyAExaNErxhEY9+UzSe&#10;dchudDEry9OiA984D1yEgLfXvZGuMr+UgsdvUgYRia4pvi3m1ef1Ja3F6oItN565VvHhGewfXmGY&#10;shh0orpmkZGtV39QGcU9BJDxhIMpQErFRc4Bs6nKN9k8tsyJnAuKE9wkU/h/tPxud++Jamq6oMQy&#10;g5/oAUVjdqMFWSR5OheWiHp09344BdymXPfSm/SPWZB9lvQwSSr2kXC8rMrz03I+n1PC0VjNqurs&#10;NLEWr+7Oh/hFgCFpU1OP4bOUbHcbYg8dISlaAK2aG6V1PqQ6EVfakx3DL8w4FzbOhgC/IbVNeAvJ&#10;sydNN0XKrs8n7+JBi4TT9kFIlAUzmOXH5IJ8G6jqTS1rRB9/UeJvjD4+LSebCROzxPgT90AwIo+T&#10;qAaaAZ9cRa7nybn828P6FCePHBlsnJyNsuDfI9BxitzjR5F6aZJKL9AcsGg89N0UHL9R+OluWYj3&#10;zGP7YKPhSIjfcJEauprCsKOkBf/zvfuEx6pGKyUdtmNNw48t84IS/dVivZ9X83nq33yYLz7P8OCP&#10;LS/HFrs1V4D1UOHwcTxvEz7qcSs9mGecHOsUFU3McoxdUx79eLiK/ZjA2cPFep1h2LOOxVv76Hgi&#10;T6qm0nzaPzPvhvqNWPp3MLYuW74p4x6bPC2stxGkyjX+quugN/Z7LpxhNqWBcnzOqNcJuvoFAAD/&#10;/wMAUEsDBBQABgAIAAAAIQBVnmbB3wAAAAsBAAAPAAAAZHJzL2Rvd25yZXYueG1sTI/BTsMwEETv&#10;SPyDtUjcWidNICXEqRASogeE1MIHbJNtHNVeR7HThr/HPcFxNKOZN9VmtkacafS9YwXpMgFB3Li2&#10;507B99fbYg3CB+QWjWNS8EMeNvXtTYVl6y68o/M+dCKWsC9RgQ5hKKX0jSaLfukG4ugd3WgxRDl2&#10;sh3xEsutkaskeZQWe44LGgd61dSc9pNVYBKcqNitP4/6veMi91vzcdoqdX83vzyDCDSHvzBc8SM6&#10;1JHp4CZuvTAKFmnxFM+E6OQrENfEQ16kIA4KsiwDWVfy/4f6FwAA//8DAFBLAQItABQABgAIAAAA&#10;IQC2gziS/gAAAOEBAAATAAAAAAAAAAAAAAAAAAAAAABbQ29udGVudF9UeXBlc10ueG1sUEsBAi0A&#10;FAAGAAgAAAAhADj9If/WAAAAlAEAAAsAAAAAAAAAAAAAAAAALwEAAF9yZWxzLy5yZWxzUEsBAi0A&#10;FAAGAAgAAAAhAAc04FePAgAAiQUAAA4AAAAAAAAAAAAAAAAALgIAAGRycy9lMm9Eb2MueG1sUEsB&#10;Ai0AFAAGAAgAAAAhAFWeZsHfAAAACwEAAA8AAAAAAAAAAAAAAAAA6QQAAGRycy9kb3ducmV2Lnht&#10;bFBLBQYAAAAABAAEAPMAAAD1BQAAAAA=&#10;" fillcolor="#573a6d [3205]" stroked="f" strokeweight="2pt"/>
              </w:pict>
            </mc:Fallback>
          </mc:AlternateContent>
        </w: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1544"/>
          <w:gridCol w:w="3390"/>
        </w:tblGrid>
        <w:tr w:rsidR="004C67B8" w:rsidRPr="007A545B" w:rsidTr="004C24FD">
          <w:tc>
            <w:tcPr>
              <w:tcW w:w="3865" w:type="pct"/>
              <w:vAlign w:val="bottom"/>
            </w:tcPr>
            <w:p w:rsidR="004C67B8" w:rsidRDefault="004C67B8" w:rsidP="00ED71B8">
              <w:pPr>
                <w:pStyle w:val="Footer"/>
                <w:rPr>
                  <w:b/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 xml:space="preserve">This document is part of the toolkit for </w:t>
              </w:r>
              <w:r w:rsidRPr="007A545B">
                <w:rPr>
                  <w:b/>
                  <w:sz w:val="18"/>
                  <w:szCs w:val="18"/>
                </w:rPr>
                <w:t>Building capacity to support human factors in patient safety</w:t>
              </w:r>
            </w:p>
            <w:p w:rsidR="004C67B8" w:rsidRPr="00E06279" w:rsidRDefault="00EF1974" w:rsidP="00ED71B8">
              <w:pPr>
                <w:pStyle w:val="Footer"/>
                <w:rPr>
                  <w:b/>
                  <w:color w:val="573A6D" w:themeColor="accent2"/>
                  <w:sz w:val="18"/>
                  <w:szCs w:val="18"/>
                </w:rPr>
              </w:pPr>
              <w:hyperlink r:id="rId1" w:history="1">
                <w:r w:rsidR="004C67B8" w:rsidRPr="00E06279">
                  <w:rPr>
                    <w:rStyle w:val="Hyperlink"/>
                    <w:b/>
                    <w:color w:val="573A6D" w:themeColor="accent2"/>
                    <w:sz w:val="18"/>
                    <w:szCs w:val="18"/>
                  </w:rPr>
                  <w:t>http://www.weahsn.net/what-we-do/enhancing-patient-safety/patient-safety-priorities/human-factors/</w:t>
                </w:r>
              </w:hyperlink>
            </w:p>
            <w:p w:rsidR="004C67B8" w:rsidRPr="007A545B" w:rsidRDefault="004C67B8" w:rsidP="00ED71B8">
              <w:pPr>
                <w:pStyle w:val="Footer"/>
                <w:rPr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>Published: January 2016</w:t>
              </w:r>
            </w:p>
          </w:tc>
          <w:tc>
            <w:tcPr>
              <w:tcW w:w="1135" w:type="pct"/>
            </w:tcPr>
            <w:p w:rsidR="004C67B8" w:rsidRPr="007A545B" w:rsidRDefault="004C67B8" w:rsidP="00ED71B8">
              <w:pPr>
                <w:pStyle w:val="Footer"/>
                <w:jc w:val="right"/>
                <w:rPr>
                  <w:sz w:val="18"/>
                  <w:szCs w:val="18"/>
                </w:rPr>
              </w:pPr>
              <w:r w:rsidRPr="007A545B">
                <w:rPr>
                  <w:noProof/>
                  <w:sz w:val="18"/>
                  <w:szCs w:val="18"/>
                  <w:lang w:eastAsia="en-GB"/>
                </w:rPr>
                <w:drawing>
                  <wp:inline distT="0" distB="0" distL="0" distR="0" wp14:anchorId="6AE70498" wp14:editId="3BA83846">
                    <wp:extent cx="1395134" cy="562705"/>
                    <wp:effectExtent l="0" t="0" r="0" b="889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West-of-England-AHSN-logo-e1399549075890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5223" cy="56677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8C01A4" w:rsidRPr="004C67B8" w:rsidRDefault="00EF1974" w:rsidP="004C67B8">
        <w:pPr>
          <w:pStyle w:val="Footer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5B" w:rsidRDefault="007A545B" w:rsidP="00387311">
    <w:pPr>
      <w:pStyle w:val="Footer"/>
      <w:rPr>
        <w:sz w:val="2"/>
        <w:szCs w:val="2"/>
      </w:rPr>
    </w:pPr>
  </w:p>
  <w:p w:rsidR="004C67B8" w:rsidRPr="007A545B" w:rsidRDefault="004C67B8" w:rsidP="004C67B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02A98A" wp14:editId="362ED91E">
              <wp:simplePos x="0" y="0"/>
              <wp:positionH relativeFrom="column">
                <wp:posOffset>-1133475</wp:posOffset>
              </wp:positionH>
              <wp:positionV relativeFrom="paragraph">
                <wp:posOffset>31115</wp:posOffset>
              </wp:positionV>
              <wp:extent cx="8218583" cy="12118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583" cy="121186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89.25pt;margin-top:2.45pt;width:647.15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Y6jwIAAIgFAAAOAAAAZHJzL2Uyb0RvYy54bWysVE1vGyEQvVfqf0Dcm/Vund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eniIyUcbWVVlouz&#10;RFq8eDsf4hcBhqRNTT1Gz0qy3U2IPXSEpGABtGquldb5kMpEXGpPdgw/MONc2FgNAX5DapvwFpJn&#10;T5puipRcn07exYMWCaftvZCoCiZQ5cfkenwdqOxNLWtEH/90hr8x+vi0nGwmTMwS40/cA8GIPE6i&#10;HGgGfHIVuZwn59nfHtanOHnkyGDj5GyUBf8WgY5T5B4/itRLk1R6huaANeOhb6bg+LXCT3fDQrxj&#10;HrsH+wwnQvyGi9TQ1RSGHSUt+J9v3Sc8FjVaKemwG2safmyZF5TorxbL/XM5n6f2zYf56acKD/7Y&#10;8nxssVtzCVgPJc4ex/M24aMet9KDecLBsU5R0cQsx9g15dGPh8vYTwkcPVys1xmGLetYvLEPjify&#10;pGoqzcf9E/NuqN+IlX8LY+ey5asy7rHJ08J6G0GqXOMvug56Y7vnwhlGU5onx+eMehmgq18AAAD/&#10;/wMAUEsDBBQABgAIAAAAIQARXaZm3wAAAAoBAAAPAAAAZHJzL2Rvd25yZXYueG1sTI9BTsMwEEX3&#10;SNzBGiR2rZ0qJSHEqRASoguE1JYDuPE0jmqPo9hpw+1xV7AczdP/79eb2Vl2wTH0niRkSwEMqfW6&#10;p07C9+F9UQILUZFW1hNK+MEAm+b+rlaV9lfa4WUfO5ZCKFRKgolxqDgPrUGnwtIPSOl38qNTMZ1j&#10;x/WorincWb4S4ok71VNqMGrAN4PteT85CVaoCYtd+XUyHx0Vedjaz/NWyseH+fUFWMQ5/sFw00/q&#10;0CSno59IB2YlLLKiXCdWQv4M7AZk2TqNOUpY5QJ4U/P/E5pfAAAA//8DAFBLAQItABQABgAIAAAA&#10;IQC2gziS/gAAAOEBAAATAAAAAAAAAAAAAAAAAAAAAABbQ29udGVudF9UeXBlc10ueG1sUEsBAi0A&#10;FAAGAAgAAAAhADj9If/WAAAAlAEAAAsAAAAAAAAAAAAAAAAALwEAAF9yZWxzLy5yZWxzUEsBAi0A&#10;FAAGAAgAAAAhAK3JtjqPAgAAiAUAAA4AAAAAAAAAAAAAAAAALgIAAGRycy9lMm9Eb2MueG1sUEsB&#10;Ai0AFAAGAAgAAAAhABFdpmbfAAAACgEAAA8AAAAAAAAAAAAAAAAA6QQAAGRycy9kb3ducmV2Lnht&#10;bFBLBQYAAAAABAAEAPMAAAD1BQAAAAA=&#10;" fillcolor="#573a6d [3205]" stroked="f" strokeweight="2pt"/>
          </w:pict>
        </mc:Fallback>
      </mc:AlternateContent>
    </w:r>
  </w:p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9"/>
      <w:gridCol w:w="2413"/>
    </w:tblGrid>
    <w:tr w:rsidR="007A545B" w:rsidRPr="007A545B" w:rsidTr="004C67B8">
      <w:tc>
        <w:tcPr>
          <w:tcW w:w="8219" w:type="dxa"/>
          <w:vAlign w:val="bottom"/>
        </w:tcPr>
        <w:p w:rsidR="004C67B8" w:rsidRDefault="007A545B" w:rsidP="007A545B">
          <w:pPr>
            <w:pStyle w:val="Footer"/>
            <w:rPr>
              <w:b/>
              <w:sz w:val="18"/>
              <w:szCs w:val="18"/>
            </w:rPr>
          </w:pPr>
          <w:r w:rsidRPr="007A545B">
            <w:rPr>
              <w:sz w:val="18"/>
              <w:szCs w:val="18"/>
            </w:rPr>
            <w:t xml:space="preserve">This document is part of the toolkit for </w:t>
          </w:r>
          <w:r w:rsidRPr="007A545B">
            <w:rPr>
              <w:b/>
              <w:sz w:val="18"/>
              <w:szCs w:val="18"/>
            </w:rPr>
            <w:t>Building capacity to support human factors in patient safety</w:t>
          </w:r>
        </w:p>
        <w:p w:rsidR="007A545B" w:rsidRDefault="00EF1974" w:rsidP="007A545B">
          <w:pPr>
            <w:pStyle w:val="Footer"/>
            <w:rPr>
              <w:sz w:val="18"/>
              <w:szCs w:val="18"/>
            </w:rPr>
          </w:pPr>
          <w:hyperlink r:id="rId1" w:history="1">
            <w:r w:rsidR="007A545B" w:rsidRPr="007A545B">
              <w:rPr>
                <w:rStyle w:val="Hyperlink"/>
                <w:sz w:val="18"/>
                <w:szCs w:val="18"/>
              </w:rPr>
              <w:t>http://www.weahsn.net/what-we-do/enhancing-patient-safety/patient-safety-priorities/human-factors/</w:t>
            </w:r>
          </w:hyperlink>
        </w:p>
        <w:p w:rsidR="007A545B" w:rsidRPr="007A545B" w:rsidRDefault="007A545B" w:rsidP="007A545B">
          <w:pPr>
            <w:pStyle w:val="Footer"/>
            <w:rPr>
              <w:sz w:val="18"/>
              <w:szCs w:val="18"/>
            </w:rPr>
          </w:pPr>
          <w:r w:rsidRPr="007A545B">
            <w:rPr>
              <w:sz w:val="18"/>
              <w:szCs w:val="18"/>
            </w:rPr>
            <w:t>Published: January 2016</w:t>
          </w:r>
        </w:p>
      </w:tc>
      <w:tc>
        <w:tcPr>
          <w:tcW w:w="2413" w:type="dxa"/>
        </w:tcPr>
        <w:p w:rsidR="007A545B" w:rsidRPr="007A545B" w:rsidRDefault="007A545B" w:rsidP="007A545B">
          <w:pPr>
            <w:pStyle w:val="Footer"/>
            <w:jc w:val="right"/>
            <w:rPr>
              <w:sz w:val="18"/>
              <w:szCs w:val="18"/>
            </w:rPr>
          </w:pPr>
          <w:r w:rsidRPr="007A545B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3E4C2067" wp14:editId="0983D45B">
                <wp:extent cx="1395134" cy="562705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st-of-England-AHSN-logo-e139954907589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223" cy="566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545B" w:rsidRPr="007A545B" w:rsidRDefault="007A545B" w:rsidP="007A545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74" w:rsidRDefault="00EF1974" w:rsidP="008C01A4">
      <w:pPr>
        <w:spacing w:after="0" w:line="240" w:lineRule="auto"/>
      </w:pPr>
      <w:r>
        <w:separator/>
      </w:r>
    </w:p>
  </w:footnote>
  <w:footnote w:type="continuationSeparator" w:id="0">
    <w:p w:rsidR="00EF1974" w:rsidRDefault="00EF1974" w:rsidP="008C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CB0" w:rsidRDefault="003F7CB0">
    <w:pPr>
      <w:pStyle w:val="Header"/>
    </w:pPr>
    <w:r w:rsidRPr="003F7CB0">
      <w:t>[Your organisation logo]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298"/>
    <w:multiLevelType w:val="hybridMultilevel"/>
    <w:tmpl w:val="94980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66A5"/>
    <w:multiLevelType w:val="hybridMultilevel"/>
    <w:tmpl w:val="A536AD20"/>
    <w:lvl w:ilvl="0" w:tplc="5A2E04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936463"/>
    <w:multiLevelType w:val="hybridMultilevel"/>
    <w:tmpl w:val="CB7CE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CA319E"/>
    <w:multiLevelType w:val="hybridMultilevel"/>
    <w:tmpl w:val="34ECCC28"/>
    <w:lvl w:ilvl="0" w:tplc="08090019">
      <w:start w:val="1"/>
      <w:numFmt w:val="lowerLetter"/>
      <w:lvlText w:val="%1."/>
      <w:lvlJc w:val="left"/>
      <w:pPr>
        <w:ind w:left="705" w:hanging="360"/>
      </w:p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>
      <w:start w:val="1"/>
      <w:numFmt w:val="decimal"/>
      <w:lvlText w:val="%4."/>
      <w:lvlJc w:val="left"/>
      <w:pPr>
        <w:ind w:left="2865" w:hanging="360"/>
      </w:pPr>
    </w:lvl>
    <w:lvl w:ilvl="4" w:tplc="08090019">
      <w:start w:val="1"/>
      <w:numFmt w:val="lowerLetter"/>
      <w:lvlText w:val="%5."/>
      <w:lvlJc w:val="left"/>
      <w:pPr>
        <w:ind w:left="3585" w:hanging="360"/>
      </w:pPr>
    </w:lvl>
    <w:lvl w:ilvl="5" w:tplc="0809001B">
      <w:start w:val="1"/>
      <w:numFmt w:val="lowerRoman"/>
      <w:lvlText w:val="%6."/>
      <w:lvlJc w:val="right"/>
      <w:pPr>
        <w:ind w:left="4305" w:hanging="180"/>
      </w:pPr>
    </w:lvl>
    <w:lvl w:ilvl="6" w:tplc="0809000F">
      <w:start w:val="1"/>
      <w:numFmt w:val="decimal"/>
      <w:lvlText w:val="%7."/>
      <w:lvlJc w:val="left"/>
      <w:pPr>
        <w:ind w:left="5025" w:hanging="360"/>
      </w:pPr>
    </w:lvl>
    <w:lvl w:ilvl="7" w:tplc="08090019">
      <w:start w:val="1"/>
      <w:numFmt w:val="lowerLetter"/>
      <w:lvlText w:val="%8."/>
      <w:lvlJc w:val="left"/>
      <w:pPr>
        <w:ind w:left="5745" w:hanging="360"/>
      </w:pPr>
    </w:lvl>
    <w:lvl w:ilvl="8" w:tplc="08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FD"/>
    <w:rsid w:val="00037AF9"/>
    <w:rsid w:val="00070ED6"/>
    <w:rsid w:val="00143400"/>
    <w:rsid w:val="001C3D1E"/>
    <w:rsid w:val="00214512"/>
    <w:rsid w:val="00387311"/>
    <w:rsid w:val="003D3177"/>
    <w:rsid w:val="003F7CB0"/>
    <w:rsid w:val="0045305A"/>
    <w:rsid w:val="004C24FD"/>
    <w:rsid w:val="004C67B8"/>
    <w:rsid w:val="00520D1C"/>
    <w:rsid w:val="00546A41"/>
    <w:rsid w:val="00645048"/>
    <w:rsid w:val="007A545B"/>
    <w:rsid w:val="007D1ACD"/>
    <w:rsid w:val="008C01A4"/>
    <w:rsid w:val="00BC6265"/>
    <w:rsid w:val="00C82A05"/>
    <w:rsid w:val="00CC6C8A"/>
    <w:rsid w:val="00D71709"/>
    <w:rsid w:val="00D91085"/>
    <w:rsid w:val="00E06279"/>
    <w:rsid w:val="00E5401C"/>
    <w:rsid w:val="00E85B79"/>
    <w:rsid w:val="00EF1974"/>
    <w:rsid w:val="00FE3917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FD"/>
  </w:style>
  <w:style w:type="paragraph" w:styleId="Heading1">
    <w:name w:val="heading 1"/>
    <w:basedOn w:val="Normal"/>
    <w:next w:val="Normal"/>
    <w:link w:val="Heading1Char"/>
    <w:uiPriority w:val="9"/>
    <w:qFormat/>
    <w:rsid w:val="00520D1C"/>
    <w:pPr>
      <w:keepNext/>
      <w:keepLines/>
      <w:outlineLvl w:val="0"/>
    </w:pPr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D1C"/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4FD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FD"/>
  </w:style>
  <w:style w:type="paragraph" w:styleId="Heading1">
    <w:name w:val="heading 1"/>
    <w:basedOn w:val="Normal"/>
    <w:next w:val="Normal"/>
    <w:link w:val="Heading1Char"/>
    <w:uiPriority w:val="9"/>
    <w:qFormat/>
    <w:rsid w:val="00520D1C"/>
    <w:pPr>
      <w:keepNext/>
      <w:keepLines/>
      <w:outlineLvl w:val="0"/>
    </w:pPr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D1C"/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4FD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.delaney\Dropbox\WEAHSN_share\human_factors\appendix_template.dotx" TargetMode="External"/></Relationships>
</file>

<file path=word/theme/theme1.xml><?xml version="1.0" encoding="utf-8"?>
<a:theme xmlns:a="http://schemas.openxmlformats.org/drawingml/2006/main" name="Office Theme">
  <a:themeElements>
    <a:clrScheme name="weahs">
      <a:dk1>
        <a:sysClr val="windowText" lastClr="000000"/>
      </a:dk1>
      <a:lt1>
        <a:sysClr val="window" lastClr="FFFFFF"/>
      </a:lt1>
      <a:dk2>
        <a:srgbClr val="1C00EB"/>
      </a:dk2>
      <a:lt2>
        <a:srgbClr val="B7CDD9"/>
      </a:lt2>
      <a:accent1>
        <a:srgbClr val="AB8DC2"/>
      </a:accent1>
      <a:accent2>
        <a:srgbClr val="573A6D"/>
      </a:accent2>
      <a:accent3>
        <a:srgbClr val="5DB6E6"/>
      </a:accent3>
      <a:accent4>
        <a:srgbClr val="00B5DF"/>
      </a:accent4>
      <a:accent5>
        <a:srgbClr val="F47F72"/>
      </a:accent5>
      <a:accent6>
        <a:srgbClr val="E0A2B3"/>
      </a:accent6>
      <a:hlink>
        <a:srgbClr val="AB8DC2"/>
      </a:hlink>
      <a:folHlink>
        <a:srgbClr val="AB8DC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appendix_template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nathalie.delaney</dc:creator>
  <cp:lastModifiedBy>nathalie.delaney</cp:lastModifiedBy>
  <cp:revision>3</cp:revision>
  <dcterms:created xsi:type="dcterms:W3CDTF">2016-01-27T18:10:00Z</dcterms:created>
  <dcterms:modified xsi:type="dcterms:W3CDTF">2016-01-27T18:10:00Z</dcterms:modified>
</cp:coreProperties>
</file>