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730" w:rsidRPr="00D66A19" w:rsidRDefault="00C57730" w:rsidP="00D66A19">
      <w:pPr>
        <w:pStyle w:val="Heading1"/>
      </w:pPr>
      <w:r w:rsidRPr="00D66A19">
        <w:t>Project team meeting agenda</w:t>
      </w:r>
    </w:p>
    <w:p w:rsidR="00C57730" w:rsidRDefault="00C57730" w:rsidP="00C57730">
      <w:pPr>
        <w:rPr>
          <w:i/>
        </w:rPr>
      </w:pPr>
      <w:r>
        <w:rPr>
          <w:i/>
        </w:rPr>
        <w:t xml:space="preserve">This is a generic agenda, which you may find helpful to facilitate your meetings. Please tailor this to your </w:t>
      </w:r>
      <w:r w:rsidR="00D66A19">
        <w:rPr>
          <w:i/>
        </w:rPr>
        <w:t xml:space="preserve">local needs. </w:t>
      </w:r>
      <w:bookmarkStart w:id="0" w:name="_GoBack"/>
      <w:bookmarkEnd w:id="0"/>
    </w:p>
    <w:tbl>
      <w:tblPr>
        <w:tblStyle w:val="TableGrid"/>
        <w:tblW w:w="8610" w:type="dxa"/>
        <w:tblLook w:val="00A0" w:firstRow="1" w:lastRow="0" w:firstColumn="1" w:lastColumn="0" w:noHBand="0" w:noVBand="0"/>
      </w:tblPr>
      <w:tblGrid>
        <w:gridCol w:w="4305"/>
        <w:gridCol w:w="4305"/>
      </w:tblGrid>
      <w:tr w:rsidR="00C57730" w:rsidRPr="00F85995" w:rsidTr="00181A6D">
        <w:tc>
          <w:tcPr>
            <w:tcW w:w="4305" w:type="dxa"/>
          </w:tcPr>
          <w:p w:rsidR="00C57730" w:rsidRPr="00F85995" w:rsidRDefault="00C57730" w:rsidP="00181A6D">
            <w:pPr>
              <w:spacing w:before="60" w:after="80"/>
              <w:rPr>
                <w:b/>
              </w:rPr>
            </w:pPr>
            <w:r w:rsidRPr="00F85995">
              <w:rPr>
                <w:b/>
              </w:rPr>
              <w:t>Name of organisation:</w:t>
            </w:r>
          </w:p>
        </w:tc>
        <w:tc>
          <w:tcPr>
            <w:tcW w:w="4305" w:type="dxa"/>
          </w:tcPr>
          <w:p w:rsidR="00C57730" w:rsidRPr="00F85995" w:rsidRDefault="00C57730" w:rsidP="00181A6D">
            <w:pPr>
              <w:spacing w:before="60" w:after="80"/>
            </w:pPr>
          </w:p>
        </w:tc>
      </w:tr>
      <w:tr w:rsidR="00C57730" w:rsidRPr="00F85995" w:rsidTr="00181A6D">
        <w:tc>
          <w:tcPr>
            <w:tcW w:w="4305" w:type="dxa"/>
          </w:tcPr>
          <w:p w:rsidR="00C57730" w:rsidRPr="00F85995" w:rsidRDefault="00C57730" w:rsidP="00181A6D">
            <w:pPr>
              <w:spacing w:before="60" w:after="80"/>
              <w:rPr>
                <w:b/>
              </w:rPr>
            </w:pPr>
            <w:r w:rsidRPr="00F85995">
              <w:rPr>
                <w:b/>
              </w:rPr>
              <w:t>Date:</w:t>
            </w:r>
          </w:p>
        </w:tc>
        <w:tc>
          <w:tcPr>
            <w:tcW w:w="4305" w:type="dxa"/>
          </w:tcPr>
          <w:p w:rsidR="00C57730" w:rsidRPr="00F85995" w:rsidRDefault="00C57730" w:rsidP="00181A6D">
            <w:pPr>
              <w:spacing w:before="60" w:after="80"/>
            </w:pPr>
          </w:p>
        </w:tc>
      </w:tr>
      <w:tr w:rsidR="00C57730" w:rsidRPr="00F85995" w:rsidTr="00181A6D">
        <w:tc>
          <w:tcPr>
            <w:tcW w:w="4305" w:type="dxa"/>
          </w:tcPr>
          <w:p w:rsidR="00C57730" w:rsidRPr="00F85995" w:rsidRDefault="00C57730" w:rsidP="00181A6D">
            <w:pPr>
              <w:spacing w:before="60" w:after="80"/>
              <w:rPr>
                <w:b/>
              </w:rPr>
            </w:pPr>
            <w:r w:rsidRPr="00F85995">
              <w:rPr>
                <w:b/>
              </w:rPr>
              <w:t>Time:</w:t>
            </w:r>
          </w:p>
        </w:tc>
        <w:tc>
          <w:tcPr>
            <w:tcW w:w="4305" w:type="dxa"/>
          </w:tcPr>
          <w:p w:rsidR="00C57730" w:rsidRPr="00F85995" w:rsidRDefault="00C57730" w:rsidP="00181A6D">
            <w:pPr>
              <w:spacing w:before="60" w:after="80"/>
            </w:pPr>
          </w:p>
        </w:tc>
      </w:tr>
      <w:tr w:rsidR="00C57730" w:rsidRPr="00F85995" w:rsidTr="00181A6D">
        <w:tc>
          <w:tcPr>
            <w:tcW w:w="4305" w:type="dxa"/>
          </w:tcPr>
          <w:p w:rsidR="00C57730" w:rsidRPr="00F85995" w:rsidRDefault="00C57730" w:rsidP="00181A6D">
            <w:pPr>
              <w:spacing w:before="60" w:after="80"/>
              <w:rPr>
                <w:b/>
              </w:rPr>
            </w:pPr>
            <w:r w:rsidRPr="00F85995">
              <w:rPr>
                <w:b/>
              </w:rPr>
              <w:t>Location:</w:t>
            </w:r>
          </w:p>
        </w:tc>
        <w:tc>
          <w:tcPr>
            <w:tcW w:w="4305" w:type="dxa"/>
          </w:tcPr>
          <w:p w:rsidR="00C57730" w:rsidRPr="00F85995" w:rsidRDefault="00C57730" w:rsidP="00181A6D">
            <w:pPr>
              <w:spacing w:before="60" w:after="80"/>
            </w:pPr>
          </w:p>
        </w:tc>
      </w:tr>
      <w:tr w:rsidR="00C57730" w:rsidRPr="00F85995" w:rsidTr="00181A6D">
        <w:tc>
          <w:tcPr>
            <w:tcW w:w="4305" w:type="dxa"/>
          </w:tcPr>
          <w:p w:rsidR="00C57730" w:rsidRPr="00F85995" w:rsidRDefault="00C57730" w:rsidP="00181A6D">
            <w:pPr>
              <w:spacing w:before="60" w:after="80"/>
              <w:rPr>
                <w:b/>
              </w:rPr>
            </w:pPr>
            <w:r w:rsidRPr="00F85995">
              <w:rPr>
                <w:b/>
              </w:rPr>
              <w:t>Present:</w:t>
            </w:r>
          </w:p>
        </w:tc>
        <w:tc>
          <w:tcPr>
            <w:tcW w:w="4305" w:type="dxa"/>
          </w:tcPr>
          <w:p w:rsidR="00C57730" w:rsidRPr="00F85995" w:rsidRDefault="00C57730" w:rsidP="00181A6D">
            <w:pPr>
              <w:spacing w:before="60" w:after="80"/>
            </w:pPr>
          </w:p>
        </w:tc>
      </w:tr>
      <w:tr w:rsidR="00C57730" w:rsidRPr="00F85995" w:rsidTr="00181A6D">
        <w:tc>
          <w:tcPr>
            <w:tcW w:w="4305" w:type="dxa"/>
          </w:tcPr>
          <w:p w:rsidR="00C57730" w:rsidRPr="00F85995" w:rsidRDefault="00C57730" w:rsidP="00181A6D">
            <w:pPr>
              <w:spacing w:before="60" w:after="80"/>
              <w:rPr>
                <w:b/>
              </w:rPr>
            </w:pPr>
            <w:r w:rsidRPr="00F85995">
              <w:rPr>
                <w:b/>
              </w:rPr>
              <w:t>Apologies:</w:t>
            </w:r>
          </w:p>
        </w:tc>
        <w:tc>
          <w:tcPr>
            <w:tcW w:w="4305" w:type="dxa"/>
          </w:tcPr>
          <w:p w:rsidR="00C57730" w:rsidRPr="00F85995" w:rsidRDefault="00C57730" w:rsidP="00181A6D">
            <w:pPr>
              <w:spacing w:before="60" w:after="80"/>
            </w:pPr>
          </w:p>
        </w:tc>
      </w:tr>
    </w:tbl>
    <w:p w:rsidR="00C57730" w:rsidRPr="00145052" w:rsidRDefault="00C57730" w:rsidP="00C57730">
      <w:pPr>
        <w:rPr>
          <w:i/>
        </w:rPr>
      </w:pPr>
    </w:p>
    <w:p w:rsidR="00C57730" w:rsidRDefault="00C57730" w:rsidP="00C57730">
      <w:pPr>
        <w:pStyle w:val="Heading4"/>
      </w:pPr>
      <w:r>
        <w:t>1. Welcome and Introductions</w:t>
      </w:r>
    </w:p>
    <w:p w:rsidR="00C57730" w:rsidRDefault="00C57730" w:rsidP="00C57730">
      <w:pPr>
        <w:pStyle w:val="ListParagraph"/>
      </w:pPr>
      <w:r>
        <w:t xml:space="preserve">Welcome and introductions. </w:t>
      </w:r>
    </w:p>
    <w:p w:rsidR="00C57730" w:rsidRDefault="00C57730" w:rsidP="00C57730">
      <w:pPr>
        <w:pStyle w:val="ListParagraph"/>
      </w:pPr>
      <w:r>
        <w:t xml:space="preserve">Confirm date for next meeting. </w:t>
      </w:r>
    </w:p>
    <w:p w:rsidR="00C57730" w:rsidRDefault="00C57730" w:rsidP="00C57730">
      <w:pPr>
        <w:pStyle w:val="Heading4"/>
      </w:pPr>
      <w:r>
        <w:t xml:space="preserve">2. How did it go since our last meeting? </w:t>
      </w:r>
    </w:p>
    <w:p w:rsidR="00C57730" w:rsidRDefault="00C57730" w:rsidP="00C57730">
      <w:pPr>
        <w:pStyle w:val="ListParagraph"/>
      </w:pPr>
      <w:r>
        <w:t xml:space="preserve">Review actions log and data since last meeting. </w:t>
      </w:r>
    </w:p>
    <w:p w:rsidR="00C57730" w:rsidRPr="00145052" w:rsidRDefault="00C57730" w:rsidP="00C57730">
      <w:pPr>
        <w:pStyle w:val="ListParagraph"/>
      </w:pPr>
      <w:r>
        <w:t>Complete monthly monitoring report.</w:t>
      </w:r>
    </w:p>
    <w:p w:rsidR="00C57730" w:rsidRDefault="00C57730" w:rsidP="00C57730">
      <w:pPr>
        <w:pStyle w:val="Heading4"/>
      </w:pPr>
      <w:r>
        <w:t>3. Risks and issues log</w:t>
      </w:r>
    </w:p>
    <w:p w:rsidR="00C57730" w:rsidRDefault="00C57730" w:rsidP="00C57730">
      <w:pPr>
        <w:pStyle w:val="ListParagraph"/>
      </w:pPr>
      <w:r>
        <w:t xml:space="preserve">Review risks and issues log, updating any risks or issues that are outstanding. </w:t>
      </w:r>
    </w:p>
    <w:p w:rsidR="00C57730" w:rsidRDefault="00C57730" w:rsidP="00C57730">
      <w:pPr>
        <w:pStyle w:val="ListParagraph"/>
      </w:pPr>
      <w:r>
        <w:t>Update action log with new actions.</w:t>
      </w:r>
    </w:p>
    <w:p w:rsidR="00C57730" w:rsidRPr="0041051C" w:rsidRDefault="00C57730" w:rsidP="00C57730">
      <w:pPr>
        <w:pStyle w:val="Heading4"/>
      </w:pPr>
      <w:r>
        <w:t>4. Communications</w:t>
      </w:r>
    </w:p>
    <w:p w:rsidR="00C57730" w:rsidRDefault="00C57730" w:rsidP="00C57730">
      <w:pPr>
        <w:pStyle w:val="ListParagraph"/>
      </w:pPr>
      <w:r>
        <w:t>What communications activities do you have planned?</w:t>
      </w:r>
    </w:p>
    <w:p w:rsidR="00C57730" w:rsidRDefault="00C57730" w:rsidP="00C57730">
      <w:pPr>
        <w:pStyle w:val="Heading4"/>
      </w:pPr>
      <w:r>
        <w:t xml:space="preserve">5. What do we need to do next? </w:t>
      </w:r>
    </w:p>
    <w:p w:rsidR="00C57730" w:rsidRDefault="00C57730" w:rsidP="00C57730">
      <w:pPr>
        <w:pStyle w:val="ListParagraph"/>
      </w:pPr>
      <w:r>
        <w:t xml:space="preserve">Confirm action list ahead of next meeting.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3764"/>
        <w:gridCol w:w="1898"/>
        <w:gridCol w:w="1771"/>
      </w:tblGrid>
      <w:tr w:rsidR="00C57730" w:rsidTr="00181A6D">
        <w:tc>
          <w:tcPr>
            <w:tcW w:w="534" w:type="dxa"/>
          </w:tcPr>
          <w:p w:rsidR="00C57730" w:rsidRPr="001B535D" w:rsidRDefault="00C57730" w:rsidP="00181A6D">
            <w:pPr>
              <w:spacing w:before="60" w:after="80"/>
              <w:rPr>
                <w:b/>
              </w:rPr>
            </w:pPr>
            <w:r w:rsidRPr="001B535D">
              <w:rPr>
                <w:b/>
              </w:rPr>
              <w:t>#</w:t>
            </w:r>
          </w:p>
        </w:tc>
        <w:tc>
          <w:tcPr>
            <w:tcW w:w="1275" w:type="dxa"/>
          </w:tcPr>
          <w:p w:rsidR="00C57730" w:rsidRPr="001B535D" w:rsidRDefault="00C57730" w:rsidP="00181A6D">
            <w:pPr>
              <w:spacing w:before="60" w:after="80"/>
              <w:rPr>
                <w:b/>
              </w:rPr>
            </w:pPr>
            <w:r w:rsidRPr="001B535D">
              <w:rPr>
                <w:b/>
              </w:rPr>
              <w:t>Who</w:t>
            </w:r>
          </w:p>
        </w:tc>
        <w:tc>
          <w:tcPr>
            <w:tcW w:w="3764" w:type="dxa"/>
          </w:tcPr>
          <w:p w:rsidR="00C57730" w:rsidRPr="001B535D" w:rsidRDefault="00C57730" w:rsidP="00181A6D">
            <w:pPr>
              <w:spacing w:before="60" w:after="80"/>
              <w:rPr>
                <w:b/>
              </w:rPr>
            </w:pPr>
            <w:r w:rsidRPr="001B535D">
              <w:rPr>
                <w:b/>
              </w:rPr>
              <w:t>What</w:t>
            </w:r>
          </w:p>
        </w:tc>
        <w:tc>
          <w:tcPr>
            <w:tcW w:w="1898" w:type="dxa"/>
          </w:tcPr>
          <w:p w:rsidR="00C57730" w:rsidRPr="001B535D" w:rsidRDefault="00C57730" w:rsidP="00181A6D">
            <w:pPr>
              <w:spacing w:before="60" w:after="80"/>
              <w:rPr>
                <w:b/>
              </w:rPr>
            </w:pPr>
            <w:r w:rsidRPr="001B535D">
              <w:rPr>
                <w:b/>
              </w:rPr>
              <w:t>By when</w:t>
            </w:r>
          </w:p>
        </w:tc>
        <w:tc>
          <w:tcPr>
            <w:tcW w:w="1771" w:type="dxa"/>
          </w:tcPr>
          <w:p w:rsidR="00C57730" w:rsidRPr="001B535D" w:rsidRDefault="00C57730" w:rsidP="00181A6D">
            <w:pPr>
              <w:spacing w:before="60" w:after="80"/>
              <w:rPr>
                <w:b/>
              </w:rPr>
            </w:pPr>
            <w:r w:rsidRPr="001B535D">
              <w:rPr>
                <w:b/>
              </w:rPr>
              <w:t>Status</w:t>
            </w:r>
          </w:p>
        </w:tc>
      </w:tr>
      <w:tr w:rsidR="00C57730" w:rsidTr="00181A6D">
        <w:tc>
          <w:tcPr>
            <w:tcW w:w="534" w:type="dxa"/>
          </w:tcPr>
          <w:p w:rsidR="00C57730" w:rsidRDefault="00C57730" w:rsidP="00181A6D">
            <w:pPr>
              <w:spacing w:before="60" w:after="80"/>
            </w:pPr>
          </w:p>
        </w:tc>
        <w:tc>
          <w:tcPr>
            <w:tcW w:w="1275" w:type="dxa"/>
          </w:tcPr>
          <w:p w:rsidR="00C57730" w:rsidRDefault="00C57730" w:rsidP="00181A6D">
            <w:pPr>
              <w:spacing w:before="60" w:after="80"/>
            </w:pPr>
          </w:p>
        </w:tc>
        <w:tc>
          <w:tcPr>
            <w:tcW w:w="3764" w:type="dxa"/>
          </w:tcPr>
          <w:p w:rsidR="00C57730" w:rsidRDefault="00C57730" w:rsidP="00181A6D">
            <w:pPr>
              <w:spacing w:before="60" w:after="80"/>
            </w:pPr>
          </w:p>
        </w:tc>
        <w:tc>
          <w:tcPr>
            <w:tcW w:w="1898" w:type="dxa"/>
          </w:tcPr>
          <w:p w:rsidR="00C57730" w:rsidRDefault="00C57730" w:rsidP="00181A6D">
            <w:pPr>
              <w:spacing w:before="60" w:after="80"/>
            </w:pPr>
          </w:p>
        </w:tc>
        <w:tc>
          <w:tcPr>
            <w:tcW w:w="1771" w:type="dxa"/>
          </w:tcPr>
          <w:p w:rsidR="00C57730" w:rsidRDefault="00C57730" w:rsidP="00181A6D">
            <w:pPr>
              <w:spacing w:before="60" w:after="80"/>
            </w:pPr>
          </w:p>
        </w:tc>
      </w:tr>
      <w:tr w:rsidR="00C57730" w:rsidTr="00181A6D">
        <w:tc>
          <w:tcPr>
            <w:tcW w:w="534" w:type="dxa"/>
          </w:tcPr>
          <w:p w:rsidR="00C57730" w:rsidRDefault="00C57730" w:rsidP="00181A6D">
            <w:pPr>
              <w:spacing w:before="60" w:after="80"/>
            </w:pPr>
          </w:p>
        </w:tc>
        <w:tc>
          <w:tcPr>
            <w:tcW w:w="1275" w:type="dxa"/>
          </w:tcPr>
          <w:p w:rsidR="00C57730" w:rsidRDefault="00C57730" w:rsidP="00181A6D">
            <w:pPr>
              <w:spacing w:before="60" w:after="80"/>
            </w:pPr>
          </w:p>
        </w:tc>
        <w:tc>
          <w:tcPr>
            <w:tcW w:w="3764" w:type="dxa"/>
          </w:tcPr>
          <w:p w:rsidR="00C57730" w:rsidRDefault="00C57730" w:rsidP="00181A6D">
            <w:pPr>
              <w:spacing w:before="60" w:after="80"/>
            </w:pPr>
          </w:p>
        </w:tc>
        <w:tc>
          <w:tcPr>
            <w:tcW w:w="1898" w:type="dxa"/>
          </w:tcPr>
          <w:p w:rsidR="00C57730" w:rsidRDefault="00C57730" w:rsidP="00181A6D">
            <w:pPr>
              <w:spacing w:before="60" w:after="80"/>
            </w:pPr>
          </w:p>
        </w:tc>
        <w:tc>
          <w:tcPr>
            <w:tcW w:w="1771" w:type="dxa"/>
          </w:tcPr>
          <w:p w:rsidR="00C57730" w:rsidRDefault="00C57730" w:rsidP="00181A6D">
            <w:pPr>
              <w:spacing w:before="60" w:after="80"/>
            </w:pPr>
          </w:p>
        </w:tc>
      </w:tr>
      <w:tr w:rsidR="00C57730" w:rsidTr="00181A6D">
        <w:tc>
          <w:tcPr>
            <w:tcW w:w="534" w:type="dxa"/>
          </w:tcPr>
          <w:p w:rsidR="00C57730" w:rsidRDefault="00C57730" w:rsidP="00181A6D">
            <w:pPr>
              <w:spacing w:before="60" w:after="80"/>
            </w:pPr>
          </w:p>
        </w:tc>
        <w:tc>
          <w:tcPr>
            <w:tcW w:w="1275" w:type="dxa"/>
          </w:tcPr>
          <w:p w:rsidR="00C57730" w:rsidRDefault="00C57730" w:rsidP="00181A6D">
            <w:pPr>
              <w:spacing w:before="60" w:after="80"/>
            </w:pPr>
          </w:p>
        </w:tc>
        <w:tc>
          <w:tcPr>
            <w:tcW w:w="3764" w:type="dxa"/>
          </w:tcPr>
          <w:p w:rsidR="00C57730" w:rsidRDefault="00C57730" w:rsidP="00181A6D">
            <w:pPr>
              <w:spacing w:before="60" w:after="80"/>
            </w:pPr>
          </w:p>
        </w:tc>
        <w:tc>
          <w:tcPr>
            <w:tcW w:w="1898" w:type="dxa"/>
          </w:tcPr>
          <w:p w:rsidR="00C57730" w:rsidRDefault="00C57730" w:rsidP="00181A6D">
            <w:pPr>
              <w:spacing w:before="60" w:after="80"/>
            </w:pPr>
          </w:p>
        </w:tc>
        <w:tc>
          <w:tcPr>
            <w:tcW w:w="1771" w:type="dxa"/>
          </w:tcPr>
          <w:p w:rsidR="00C57730" w:rsidRDefault="00C57730" w:rsidP="00181A6D">
            <w:pPr>
              <w:spacing w:before="60" w:after="80"/>
            </w:pPr>
          </w:p>
        </w:tc>
      </w:tr>
    </w:tbl>
    <w:p w:rsidR="00C57730" w:rsidRDefault="00C57730" w:rsidP="00C57730"/>
    <w:p w:rsidR="00C57730" w:rsidRPr="00145052" w:rsidRDefault="00C57730" w:rsidP="00C57730">
      <w:pPr>
        <w:pStyle w:val="Heading4"/>
      </w:pPr>
      <w:r>
        <w:t>6. Any other business</w:t>
      </w:r>
    </w:p>
    <w:p w:rsidR="00C57730" w:rsidRPr="0041051C" w:rsidRDefault="00C57730" w:rsidP="00C57730"/>
    <w:sectPr w:rsidR="00C57730" w:rsidRPr="0041051C" w:rsidSect="004C67B8">
      <w:headerReference w:type="default" r:id="rId8"/>
      <w:footerReference w:type="default" r:id="rId9"/>
      <w:footerReference w:type="first" r:id="rId10"/>
      <w:pgSz w:w="11906" w:h="16838"/>
      <w:pgMar w:top="680" w:right="1440" w:bottom="1440" w:left="1440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390" w:rsidRDefault="00AA5390" w:rsidP="008C01A4">
      <w:pPr>
        <w:spacing w:after="0" w:line="240" w:lineRule="auto"/>
      </w:pPr>
      <w:r>
        <w:separator/>
      </w:r>
    </w:p>
  </w:endnote>
  <w:endnote w:type="continuationSeparator" w:id="0">
    <w:p w:rsidR="00AA5390" w:rsidRDefault="00AA5390" w:rsidP="008C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928864"/>
      <w:docPartObj>
        <w:docPartGallery w:val="Page Numbers (Bottom of Page)"/>
        <w:docPartUnique/>
      </w:docPartObj>
    </w:sdtPr>
    <w:sdtEndPr>
      <w:rPr>
        <w:noProof/>
        <w:sz w:val="2"/>
        <w:szCs w:val="2"/>
      </w:rPr>
    </w:sdtEndPr>
    <w:sdtContent>
      <w:p w:rsidR="004C67B8" w:rsidRDefault="004C67B8" w:rsidP="004C67B8">
        <w:pPr>
          <w:pStyle w:val="Footer"/>
          <w:rPr>
            <w:sz w:val="2"/>
            <w:szCs w:val="2"/>
          </w:rPr>
        </w:pPr>
      </w:p>
      <w:p w:rsidR="004C67B8" w:rsidRPr="007A545B" w:rsidRDefault="004C67B8" w:rsidP="004C67B8"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F7CBDFF" wp14:editId="2F91BE33">
                  <wp:simplePos x="0" y="0"/>
                  <wp:positionH relativeFrom="column">
                    <wp:posOffset>-1133475</wp:posOffset>
                  </wp:positionH>
                  <wp:positionV relativeFrom="paragraph">
                    <wp:posOffset>94615</wp:posOffset>
                  </wp:positionV>
                  <wp:extent cx="8218583" cy="121186"/>
                  <wp:effectExtent l="0" t="0" r="0" b="0"/>
                  <wp:wrapNone/>
                  <wp:docPr id="5" name="Rectangl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8218583" cy="121186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Rectangle 5" o:spid="_x0000_s1026" style="position:absolute;margin-left:-89.25pt;margin-top:7.45pt;width:647.15pt;height:9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" fillcolor="#573a6d [3205]" stroked="f" strokeweight="2pt"/>
              </w:pict>
            </mc:Fallback>
          </mc:AlternateContent>
        </w:r>
      </w:p>
      <w:tbl>
        <w:tblPr>
          <w:tblStyle w:val="TableGrid"/>
          <w:tblW w:w="10632" w:type="dxa"/>
          <w:tblInd w:w="-74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219"/>
          <w:gridCol w:w="2413"/>
        </w:tblGrid>
        <w:tr w:rsidR="004C67B8" w:rsidRPr="007A545B" w:rsidTr="00ED71B8">
          <w:tc>
            <w:tcPr>
              <w:tcW w:w="8219" w:type="dxa"/>
              <w:vAlign w:val="bottom"/>
            </w:tcPr>
            <w:p w:rsidR="004C67B8" w:rsidRDefault="004C67B8" w:rsidP="00ED71B8">
              <w:pPr>
                <w:pStyle w:val="Footer"/>
                <w:rPr>
                  <w:b/>
                  <w:sz w:val="18"/>
                  <w:szCs w:val="18"/>
                </w:rPr>
              </w:pPr>
              <w:r w:rsidRPr="007A545B">
                <w:rPr>
                  <w:sz w:val="18"/>
                  <w:szCs w:val="18"/>
                </w:rPr>
                <w:t xml:space="preserve">This document is part of the toolkit for </w:t>
              </w:r>
              <w:r w:rsidRPr="007A545B">
                <w:rPr>
                  <w:b/>
                  <w:sz w:val="18"/>
                  <w:szCs w:val="18"/>
                </w:rPr>
                <w:t>Building capacity to support human factors in patient safety</w:t>
              </w:r>
            </w:p>
            <w:p w:rsidR="004C67B8" w:rsidRPr="00E06279" w:rsidRDefault="00AA5390" w:rsidP="00ED71B8">
              <w:pPr>
                <w:pStyle w:val="Footer"/>
                <w:rPr>
                  <w:b/>
                  <w:color w:val="573A6D" w:themeColor="accent2"/>
                  <w:sz w:val="18"/>
                  <w:szCs w:val="18"/>
                </w:rPr>
              </w:pPr>
              <w:hyperlink r:id="rId1" w:history="1">
                <w:r w:rsidR="004C67B8" w:rsidRPr="00E06279">
                  <w:rPr>
                    <w:rStyle w:val="Hyperlink"/>
                    <w:b/>
                    <w:color w:val="573A6D" w:themeColor="accent2"/>
                    <w:sz w:val="18"/>
                    <w:szCs w:val="18"/>
                  </w:rPr>
                  <w:t>http://www.weahsn.net/what-we-do/enhancing-patient-safety/patient-safety-priorities/human-factors/</w:t>
                </w:r>
              </w:hyperlink>
            </w:p>
            <w:p w:rsidR="004C67B8" w:rsidRPr="007A545B" w:rsidRDefault="004C67B8" w:rsidP="00ED71B8">
              <w:pPr>
                <w:pStyle w:val="Footer"/>
                <w:rPr>
                  <w:sz w:val="18"/>
                  <w:szCs w:val="18"/>
                </w:rPr>
              </w:pPr>
              <w:r w:rsidRPr="007A545B">
                <w:rPr>
                  <w:sz w:val="18"/>
                  <w:szCs w:val="18"/>
                </w:rPr>
                <w:t>Published: January 2016</w:t>
              </w:r>
            </w:p>
          </w:tc>
          <w:tc>
            <w:tcPr>
              <w:tcW w:w="2413" w:type="dxa"/>
            </w:tcPr>
            <w:p w:rsidR="004C67B8" w:rsidRPr="007A545B" w:rsidRDefault="004C67B8" w:rsidP="00ED71B8">
              <w:pPr>
                <w:pStyle w:val="Footer"/>
                <w:jc w:val="right"/>
                <w:rPr>
                  <w:sz w:val="18"/>
                  <w:szCs w:val="18"/>
                </w:rPr>
              </w:pPr>
              <w:r w:rsidRPr="007A545B">
                <w:rPr>
                  <w:noProof/>
                  <w:sz w:val="18"/>
                  <w:szCs w:val="18"/>
                  <w:lang w:eastAsia="en-GB"/>
                </w:rPr>
                <w:drawing>
                  <wp:inline distT="0" distB="0" distL="0" distR="0" wp14:anchorId="053A66D9" wp14:editId="2C884EC7">
                    <wp:extent cx="1395134" cy="562705"/>
                    <wp:effectExtent l="0" t="0" r="0" b="8890"/>
                    <wp:docPr id="6" name="Pictur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West-of-England-AHSN-logo-e1399549075890.png"/>
                            <pic:cNvPicPr/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05223" cy="56677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:rsidR="004C67B8" w:rsidRDefault="004C67B8" w:rsidP="004C67B8">
        <w:pPr>
          <w:pStyle w:val="Footer"/>
          <w:rPr>
            <w:sz w:val="2"/>
            <w:szCs w:val="2"/>
          </w:rPr>
        </w:pPr>
      </w:p>
      <w:p w:rsidR="008C01A4" w:rsidRPr="004C67B8" w:rsidRDefault="00AA5390" w:rsidP="004C67B8">
        <w:pPr>
          <w:pStyle w:val="Footer"/>
          <w:rPr>
            <w:sz w:val="2"/>
            <w:szCs w:val="2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45B" w:rsidRDefault="007A545B" w:rsidP="00387311">
    <w:pPr>
      <w:pStyle w:val="Footer"/>
      <w:rPr>
        <w:sz w:val="2"/>
        <w:szCs w:val="2"/>
      </w:rPr>
    </w:pPr>
  </w:p>
  <w:p w:rsidR="004C67B8" w:rsidRPr="007A545B" w:rsidRDefault="004C67B8" w:rsidP="004C67B8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42E7C3" wp14:editId="15C1D18D">
              <wp:simplePos x="0" y="0"/>
              <wp:positionH relativeFrom="column">
                <wp:posOffset>-1133475</wp:posOffset>
              </wp:positionH>
              <wp:positionV relativeFrom="paragraph">
                <wp:posOffset>31115</wp:posOffset>
              </wp:positionV>
              <wp:extent cx="8218583" cy="121186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8583" cy="121186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" o:spid="_x0000_s1026" style="position:absolute;margin-left:-89.25pt;margin-top:2.45pt;width:647.15pt;height: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" fillcolor="#573a6d [3205]" stroked="f" strokeweight="2pt"/>
          </w:pict>
        </mc:Fallback>
      </mc:AlternateContent>
    </w:r>
  </w:p>
  <w:tbl>
    <w:tblPr>
      <w:tblStyle w:val="TableGrid"/>
      <w:tblW w:w="1063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19"/>
      <w:gridCol w:w="2413"/>
    </w:tblGrid>
    <w:tr w:rsidR="007A545B" w:rsidRPr="007A545B" w:rsidTr="004C67B8">
      <w:tc>
        <w:tcPr>
          <w:tcW w:w="8219" w:type="dxa"/>
          <w:vAlign w:val="bottom"/>
        </w:tcPr>
        <w:p w:rsidR="004C67B8" w:rsidRDefault="007A545B" w:rsidP="007A545B">
          <w:pPr>
            <w:pStyle w:val="Footer"/>
            <w:rPr>
              <w:b/>
              <w:sz w:val="18"/>
              <w:szCs w:val="18"/>
            </w:rPr>
          </w:pPr>
          <w:r w:rsidRPr="007A545B">
            <w:rPr>
              <w:sz w:val="18"/>
              <w:szCs w:val="18"/>
            </w:rPr>
            <w:t xml:space="preserve">This document is part of the toolkit for </w:t>
          </w:r>
          <w:r w:rsidRPr="007A545B">
            <w:rPr>
              <w:b/>
              <w:sz w:val="18"/>
              <w:szCs w:val="18"/>
            </w:rPr>
            <w:t>Building capacity to support human factors in patient safety</w:t>
          </w:r>
        </w:p>
        <w:p w:rsidR="007A545B" w:rsidRDefault="00AA5390" w:rsidP="007A545B">
          <w:pPr>
            <w:pStyle w:val="Footer"/>
            <w:rPr>
              <w:sz w:val="18"/>
              <w:szCs w:val="18"/>
            </w:rPr>
          </w:pPr>
          <w:hyperlink r:id="rId1" w:history="1">
            <w:r w:rsidR="007A545B" w:rsidRPr="007A545B">
              <w:rPr>
                <w:rStyle w:val="Hyperlink"/>
                <w:sz w:val="18"/>
                <w:szCs w:val="18"/>
              </w:rPr>
              <w:t>http://www.weahsn.net/what-we-do/enhancing-patient-safety/patient-safety-priorities/human-factors/</w:t>
            </w:r>
          </w:hyperlink>
        </w:p>
        <w:p w:rsidR="007A545B" w:rsidRPr="007A545B" w:rsidRDefault="007A545B" w:rsidP="007A545B">
          <w:pPr>
            <w:pStyle w:val="Footer"/>
            <w:rPr>
              <w:sz w:val="18"/>
              <w:szCs w:val="18"/>
            </w:rPr>
          </w:pPr>
          <w:r w:rsidRPr="007A545B">
            <w:rPr>
              <w:sz w:val="18"/>
              <w:szCs w:val="18"/>
            </w:rPr>
            <w:t>Published: January 2016</w:t>
          </w:r>
        </w:p>
      </w:tc>
      <w:tc>
        <w:tcPr>
          <w:tcW w:w="2413" w:type="dxa"/>
        </w:tcPr>
        <w:p w:rsidR="007A545B" w:rsidRPr="007A545B" w:rsidRDefault="007A545B" w:rsidP="007A545B">
          <w:pPr>
            <w:pStyle w:val="Footer"/>
            <w:jc w:val="right"/>
            <w:rPr>
              <w:sz w:val="18"/>
              <w:szCs w:val="18"/>
            </w:rPr>
          </w:pPr>
          <w:r w:rsidRPr="007A545B">
            <w:rPr>
              <w:noProof/>
              <w:sz w:val="18"/>
              <w:szCs w:val="18"/>
              <w:lang w:eastAsia="en-GB"/>
            </w:rPr>
            <w:drawing>
              <wp:inline distT="0" distB="0" distL="0" distR="0" wp14:anchorId="4790BA0E" wp14:editId="163E8EE5">
                <wp:extent cx="1395134" cy="562705"/>
                <wp:effectExtent l="0" t="0" r="0" b="889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est-of-England-AHSN-logo-e1399549075890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5223" cy="566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A545B" w:rsidRPr="007A545B" w:rsidRDefault="007A545B" w:rsidP="007A545B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390" w:rsidRDefault="00AA5390" w:rsidP="008C01A4">
      <w:pPr>
        <w:spacing w:after="0" w:line="240" w:lineRule="auto"/>
      </w:pPr>
      <w:r>
        <w:separator/>
      </w:r>
    </w:p>
  </w:footnote>
  <w:footnote w:type="continuationSeparator" w:id="0">
    <w:p w:rsidR="00AA5390" w:rsidRDefault="00AA5390" w:rsidP="008C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7B8" w:rsidRDefault="004C67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E66A5"/>
    <w:multiLevelType w:val="hybridMultilevel"/>
    <w:tmpl w:val="A536AD20"/>
    <w:lvl w:ilvl="0" w:tplc="5A2E047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CA319E"/>
    <w:multiLevelType w:val="hybridMultilevel"/>
    <w:tmpl w:val="34ECCC28"/>
    <w:lvl w:ilvl="0" w:tplc="08090019">
      <w:start w:val="1"/>
      <w:numFmt w:val="lowerLetter"/>
      <w:lvlText w:val="%1."/>
      <w:lvlJc w:val="left"/>
      <w:pPr>
        <w:ind w:left="705" w:hanging="360"/>
      </w:pPr>
    </w:lvl>
    <w:lvl w:ilvl="1" w:tplc="08090019">
      <w:start w:val="1"/>
      <w:numFmt w:val="lowerLetter"/>
      <w:lvlText w:val="%2."/>
      <w:lvlJc w:val="left"/>
      <w:pPr>
        <w:ind w:left="1425" w:hanging="360"/>
      </w:pPr>
    </w:lvl>
    <w:lvl w:ilvl="2" w:tplc="0809001B">
      <w:start w:val="1"/>
      <w:numFmt w:val="lowerRoman"/>
      <w:lvlText w:val="%3."/>
      <w:lvlJc w:val="right"/>
      <w:pPr>
        <w:ind w:left="2145" w:hanging="180"/>
      </w:pPr>
    </w:lvl>
    <w:lvl w:ilvl="3" w:tplc="0809000F">
      <w:start w:val="1"/>
      <w:numFmt w:val="decimal"/>
      <w:lvlText w:val="%4."/>
      <w:lvlJc w:val="left"/>
      <w:pPr>
        <w:ind w:left="2865" w:hanging="360"/>
      </w:pPr>
    </w:lvl>
    <w:lvl w:ilvl="4" w:tplc="08090019">
      <w:start w:val="1"/>
      <w:numFmt w:val="lowerLetter"/>
      <w:lvlText w:val="%5."/>
      <w:lvlJc w:val="left"/>
      <w:pPr>
        <w:ind w:left="3585" w:hanging="360"/>
      </w:pPr>
    </w:lvl>
    <w:lvl w:ilvl="5" w:tplc="0809001B">
      <w:start w:val="1"/>
      <w:numFmt w:val="lowerRoman"/>
      <w:lvlText w:val="%6."/>
      <w:lvlJc w:val="right"/>
      <w:pPr>
        <w:ind w:left="4305" w:hanging="180"/>
      </w:pPr>
    </w:lvl>
    <w:lvl w:ilvl="6" w:tplc="0809000F">
      <w:start w:val="1"/>
      <w:numFmt w:val="decimal"/>
      <w:lvlText w:val="%7."/>
      <w:lvlJc w:val="left"/>
      <w:pPr>
        <w:ind w:left="5025" w:hanging="360"/>
      </w:pPr>
    </w:lvl>
    <w:lvl w:ilvl="7" w:tplc="08090019">
      <w:start w:val="1"/>
      <w:numFmt w:val="lowerLetter"/>
      <w:lvlText w:val="%8."/>
      <w:lvlJc w:val="left"/>
      <w:pPr>
        <w:ind w:left="5745" w:hanging="360"/>
      </w:pPr>
    </w:lvl>
    <w:lvl w:ilvl="8" w:tplc="0809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730"/>
    <w:rsid w:val="00037AF9"/>
    <w:rsid w:val="00070ED6"/>
    <w:rsid w:val="00143400"/>
    <w:rsid w:val="001C3D1E"/>
    <w:rsid w:val="00387311"/>
    <w:rsid w:val="003D3177"/>
    <w:rsid w:val="0045305A"/>
    <w:rsid w:val="004C67B8"/>
    <w:rsid w:val="00645048"/>
    <w:rsid w:val="007A545B"/>
    <w:rsid w:val="007D1ACD"/>
    <w:rsid w:val="008C01A4"/>
    <w:rsid w:val="00AA5390"/>
    <w:rsid w:val="00BC6265"/>
    <w:rsid w:val="00C57730"/>
    <w:rsid w:val="00C82A05"/>
    <w:rsid w:val="00CC6C8A"/>
    <w:rsid w:val="00D66A19"/>
    <w:rsid w:val="00E06279"/>
    <w:rsid w:val="00E5401C"/>
    <w:rsid w:val="00E85B79"/>
    <w:rsid w:val="00FE3917"/>
    <w:rsid w:val="00F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730"/>
  </w:style>
  <w:style w:type="paragraph" w:styleId="Heading1">
    <w:name w:val="heading 1"/>
    <w:basedOn w:val="Normal"/>
    <w:next w:val="Normal"/>
    <w:link w:val="Heading1Char"/>
    <w:uiPriority w:val="9"/>
    <w:qFormat/>
    <w:rsid w:val="00D66A19"/>
    <w:pPr>
      <w:keepNext/>
      <w:keepLines/>
      <w:spacing w:before="400"/>
      <w:outlineLvl w:val="0"/>
    </w:pPr>
    <w:rPr>
      <w:rFonts w:asciiTheme="majorHAnsi" w:eastAsiaTheme="majorEastAsia" w:hAnsiTheme="majorHAnsi" w:cs="Arial"/>
      <w:b/>
      <w:bCs/>
      <w:color w:val="573A6D" w:themeColor="accen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01A4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01A4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305A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573A6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1A4"/>
    <w:rPr>
      <w:rFonts w:ascii="Tahoma" w:hAnsi="Tahoma" w:cs="Tahoma"/>
      <w:sz w:val="16"/>
      <w:szCs w:val="16"/>
    </w:rPr>
  </w:style>
  <w:style w:type="paragraph" w:customStyle="1" w:styleId="Mainitembody">
    <w:name w:val="Main item body"/>
    <w:basedOn w:val="Normal"/>
    <w:rsid w:val="008C01A4"/>
    <w:pPr>
      <w:spacing w:before="160" w:after="0" w:line="240" w:lineRule="auto"/>
      <w:ind w:left="720"/>
    </w:pPr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66A19"/>
    <w:rPr>
      <w:rFonts w:asciiTheme="majorHAnsi" w:eastAsiaTheme="majorEastAsia" w:hAnsiTheme="majorHAnsi" w:cs="Arial"/>
      <w:b/>
      <w:bCs/>
      <w:color w:val="573A6D" w:themeColor="accen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01A4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8C0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1A4"/>
  </w:style>
  <w:style w:type="paragraph" w:styleId="Footer">
    <w:name w:val="footer"/>
    <w:basedOn w:val="Normal"/>
    <w:link w:val="FooterChar"/>
    <w:uiPriority w:val="99"/>
    <w:unhideWhenUsed/>
    <w:rsid w:val="008C0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1A4"/>
  </w:style>
  <w:style w:type="character" w:customStyle="1" w:styleId="Heading3Char">
    <w:name w:val="Heading 3 Char"/>
    <w:basedOn w:val="DefaultParagraphFont"/>
    <w:link w:val="Heading3"/>
    <w:uiPriority w:val="9"/>
    <w:rsid w:val="008C01A4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7D1ACD"/>
    <w:pPr>
      <w:spacing w:before="400" w:after="8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7D1ACD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5305A"/>
    <w:rPr>
      <w:rFonts w:asciiTheme="majorHAnsi" w:eastAsiaTheme="majorEastAsia" w:hAnsiTheme="majorHAnsi" w:cstheme="majorBidi"/>
      <w:b/>
      <w:bCs/>
      <w:i/>
      <w:iCs/>
      <w:color w:val="573A6D" w:themeColor="accent2"/>
    </w:rPr>
  </w:style>
  <w:style w:type="paragraph" w:styleId="NoSpacing">
    <w:name w:val="No Spacing"/>
    <w:uiPriority w:val="1"/>
    <w:qFormat/>
    <w:rsid w:val="008C01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1ACD"/>
    <w:rPr>
      <w:color w:val="AB8DC2" w:themeColor="hyperlink"/>
      <w:u w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ACD"/>
    <w:pPr>
      <w:numPr>
        <w:ilvl w:val="1"/>
      </w:numPr>
    </w:pPr>
    <w:rPr>
      <w:rFonts w:asciiTheme="majorHAnsi" w:eastAsiaTheme="majorEastAsia" w:hAnsiTheme="majorHAnsi" w:cstheme="majorBidi"/>
      <w:i/>
      <w:iCs/>
      <w:color w:val="808080" w:themeColor="background1" w:themeShade="80"/>
    </w:rPr>
  </w:style>
  <w:style w:type="character" w:customStyle="1" w:styleId="SubtitleChar">
    <w:name w:val="Subtitle Char"/>
    <w:basedOn w:val="DefaultParagraphFont"/>
    <w:link w:val="Subtitle"/>
    <w:uiPriority w:val="11"/>
    <w:rsid w:val="007D1ACD"/>
    <w:rPr>
      <w:rFonts w:asciiTheme="majorHAnsi" w:eastAsiaTheme="majorEastAsia" w:hAnsiTheme="majorHAnsi" w:cstheme="majorBidi"/>
      <w:i/>
      <w:iCs/>
      <w:color w:val="808080" w:themeColor="background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D1ACD"/>
    <w:rPr>
      <w:color w:val="AB8DC2" w:themeColor="followedHyperlink"/>
      <w:u w:val="single"/>
    </w:rPr>
  </w:style>
  <w:style w:type="table" w:styleId="TableGrid">
    <w:name w:val="Table Grid"/>
    <w:basedOn w:val="TableNormal"/>
    <w:uiPriority w:val="59"/>
    <w:rsid w:val="007A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7730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730"/>
  </w:style>
  <w:style w:type="paragraph" w:styleId="Heading1">
    <w:name w:val="heading 1"/>
    <w:basedOn w:val="Normal"/>
    <w:next w:val="Normal"/>
    <w:link w:val="Heading1Char"/>
    <w:uiPriority w:val="9"/>
    <w:qFormat/>
    <w:rsid w:val="00D66A19"/>
    <w:pPr>
      <w:keepNext/>
      <w:keepLines/>
      <w:spacing w:before="400"/>
      <w:outlineLvl w:val="0"/>
    </w:pPr>
    <w:rPr>
      <w:rFonts w:asciiTheme="majorHAnsi" w:eastAsiaTheme="majorEastAsia" w:hAnsiTheme="majorHAnsi" w:cs="Arial"/>
      <w:b/>
      <w:bCs/>
      <w:color w:val="573A6D" w:themeColor="accen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01A4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01A4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305A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573A6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1A4"/>
    <w:rPr>
      <w:rFonts w:ascii="Tahoma" w:hAnsi="Tahoma" w:cs="Tahoma"/>
      <w:sz w:val="16"/>
      <w:szCs w:val="16"/>
    </w:rPr>
  </w:style>
  <w:style w:type="paragraph" w:customStyle="1" w:styleId="Mainitembody">
    <w:name w:val="Main item body"/>
    <w:basedOn w:val="Normal"/>
    <w:rsid w:val="008C01A4"/>
    <w:pPr>
      <w:spacing w:before="160" w:after="0" w:line="240" w:lineRule="auto"/>
      <w:ind w:left="720"/>
    </w:pPr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66A19"/>
    <w:rPr>
      <w:rFonts w:asciiTheme="majorHAnsi" w:eastAsiaTheme="majorEastAsia" w:hAnsiTheme="majorHAnsi" w:cs="Arial"/>
      <w:b/>
      <w:bCs/>
      <w:color w:val="573A6D" w:themeColor="accen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01A4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8C0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1A4"/>
  </w:style>
  <w:style w:type="paragraph" w:styleId="Footer">
    <w:name w:val="footer"/>
    <w:basedOn w:val="Normal"/>
    <w:link w:val="FooterChar"/>
    <w:uiPriority w:val="99"/>
    <w:unhideWhenUsed/>
    <w:rsid w:val="008C0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1A4"/>
  </w:style>
  <w:style w:type="character" w:customStyle="1" w:styleId="Heading3Char">
    <w:name w:val="Heading 3 Char"/>
    <w:basedOn w:val="DefaultParagraphFont"/>
    <w:link w:val="Heading3"/>
    <w:uiPriority w:val="9"/>
    <w:rsid w:val="008C01A4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7D1ACD"/>
    <w:pPr>
      <w:spacing w:before="400" w:after="8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7D1ACD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5305A"/>
    <w:rPr>
      <w:rFonts w:asciiTheme="majorHAnsi" w:eastAsiaTheme="majorEastAsia" w:hAnsiTheme="majorHAnsi" w:cstheme="majorBidi"/>
      <w:b/>
      <w:bCs/>
      <w:i/>
      <w:iCs/>
      <w:color w:val="573A6D" w:themeColor="accent2"/>
    </w:rPr>
  </w:style>
  <w:style w:type="paragraph" w:styleId="NoSpacing">
    <w:name w:val="No Spacing"/>
    <w:uiPriority w:val="1"/>
    <w:qFormat/>
    <w:rsid w:val="008C01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1ACD"/>
    <w:rPr>
      <w:color w:val="AB8DC2" w:themeColor="hyperlink"/>
      <w:u w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ACD"/>
    <w:pPr>
      <w:numPr>
        <w:ilvl w:val="1"/>
      </w:numPr>
    </w:pPr>
    <w:rPr>
      <w:rFonts w:asciiTheme="majorHAnsi" w:eastAsiaTheme="majorEastAsia" w:hAnsiTheme="majorHAnsi" w:cstheme="majorBidi"/>
      <w:i/>
      <w:iCs/>
      <w:color w:val="808080" w:themeColor="background1" w:themeShade="80"/>
    </w:rPr>
  </w:style>
  <w:style w:type="character" w:customStyle="1" w:styleId="SubtitleChar">
    <w:name w:val="Subtitle Char"/>
    <w:basedOn w:val="DefaultParagraphFont"/>
    <w:link w:val="Subtitle"/>
    <w:uiPriority w:val="11"/>
    <w:rsid w:val="007D1ACD"/>
    <w:rPr>
      <w:rFonts w:asciiTheme="majorHAnsi" w:eastAsiaTheme="majorEastAsia" w:hAnsiTheme="majorHAnsi" w:cstheme="majorBidi"/>
      <w:i/>
      <w:iCs/>
      <w:color w:val="808080" w:themeColor="background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D1ACD"/>
    <w:rPr>
      <w:color w:val="AB8DC2" w:themeColor="followedHyperlink"/>
      <w:u w:val="single"/>
    </w:rPr>
  </w:style>
  <w:style w:type="table" w:styleId="TableGrid">
    <w:name w:val="Table Grid"/>
    <w:basedOn w:val="TableNormal"/>
    <w:uiPriority w:val="59"/>
    <w:rsid w:val="007A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7730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6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weahsn.net/what-we-do/enhancing-patient-safety/patient-safety-priorities/human-factors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weahsn.net/what-we-do/enhancing-patient-safety/patient-safety-priorities/human-factor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halie.delaney\Dropbox\WEAHSN_share\human_factors\appendix_template.dotx" TargetMode="External"/></Relationships>
</file>

<file path=word/theme/theme1.xml><?xml version="1.0" encoding="utf-8"?>
<a:theme xmlns:a="http://schemas.openxmlformats.org/drawingml/2006/main" name="Office Theme">
  <a:themeElements>
    <a:clrScheme name="weahs">
      <a:dk1>
        <a:sysClr val="windowText" lastClr="000000"/>
      </a:dk1>
      <a:lt1>
        <a:sysClr val="window" lastClr="FFFFFF"/>
      </a:lt1>
      <a:dk2>
        <a:srgbClr val="1C00EB"/>
      </a:dk2>
      <a:lt2>
        <a:srgbClr val="B7CDD9"/>
      </a:lt2>
      <a:accent1>
        <a:srgbClr val="AB8DC2"/>
      </a:accent1>
      <a:accent2>
        <a:srgbClr val="573A6D"/>
      </a:accent2>
      <a:accent3>
        <a:srgbClr val="5DB6E6"/>
      </a:accent3>
      <a:accent4>
        <a:srgbClr val="00B5DF"/>
      </a:accent4>
      <a:accent5>
        <a:srgbClr val="F47F72"/>
      </a:accent5>
      <a:accent6>
        <a:srgbClr val="E0A2B3"/>
      </a:accent6>
      <a:hlink>
        <a:srgbClr val="AB8DC2"/>
      </a:hlink>
      <a:folHlink>
        <a:srgbClr val="AB8DC2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appendix_template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nathalie.delaney</dc:creator>
  <cp:lastModifiedBy>nathalie.delaney</cp:lastModifiedBy>
  <cp:revision>2</cp:revision>
  <dcterms:created xsi:type="dcterms:W3CDTF">2016-01-27T17:49:00Z</dcterms:created>
  <dcterms:modified xsi:type="dcterms:W3CDTF">2016-01-27T17:49:00Z</dcterms:modified>
</cp:coreProperties>
</file>