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04F" w:rsidRPr="000F004F" w:rsidRDefault="000F004F" w:rsidP="00451275">
      <w:pPr>
        <w:spacing w:before="60" w:after="80"/>
        <w:rPr>
          <w:rFonts w:ascii="Arial" w:eastAsia="Arial" w:hAnsi="Arial" w:cs="Arial"/>
          <w:b/>
          <w:bCs/>
          <w:color w:val="39C1C3"/>
          <w:kern w:val="24"/>
          <w:sz w:val="52"/>
          <w:szCs w:val="66"/>
          <w:lang w:val="en-GB"/>
          <w14:textFill>
            <w14:gradFill>
              <w14:gsLst>
                <w14:gs w14:pos="0">
                  <w14:srgbClr w14:val="39C1C3"/>
                </w14:gs>
                <w14:gs w14:pos="100000">
                  <w14:srgbClr w14:val="005AA8"/>
                </w14:gs>
              </w14:gsLst>
              <w14:lin w14:ang="0" w14:scaled="0"/>
            </w14:gradFill>
          </w14:textFill>
        </w:rPr>
      </w:pPr>
      <w:bookmarkStart w:id="0" w:name="_GoBack"/>
      <w:bookmarkEnd w:id="0"/>
      <w:r w:rsidRPr="000F004F">
        <w:rPr>
          <w:rFonts w:ascii="Arial" w:eastAsia="Arial" w:hAnsi="Arial" w:cs="Arial"/>
          <w:b/>
          <w:bCs/>
          <w:color w:val="39C1C3"/>
          <w:kern w:val="24"/>
          <w:sz w:val="52"/>
          <w:szCs w:val="66"/>
          <w:lang w:val="en-GB"/>
          <w14:textFill>
            <w14:gradFill>
              <w14:gsLst>
                <w14:gs w14:pos="0">
                  <w14:srgbClr w14:val="39C1C3"/>
                </w14:gs>
                <w14:gs w14:pos="100000">
                  <w14:srgbClr w14:val="005AA8"/>
                </w14:gs>
              </w14:gsLst>
              <w14:lin w14:ang="0" w14:scaled="0"/>
            </w14:gradFill>
          </w14:textFill>
        </w:rPr>
        <w:t>From Frailty to Resilience</w:t>
      </w:r>
    </w:p>
    <w:p w:rsidR="000F004F" w:rsidRPr="000F004F" w:rsidRDefault="006A6350" w:rsidP="00451275">
      <w:pPr>
        <w:spacing w:before="60" w:after="80"/>
        <w:rPr>
          <w:rFonts w:ascii="Arial" w:eastAsia="Arial" w:hAnsi="Arial" w:cs="Arial"/>
          <w:i/>
          <w:iCs/>
          <w:color w:val="9AADBD"/>
          <w:lang w:val="en-GB"/>
        </w:rPr>
      </w:pPr>
      <w:r>
        <w:rPr>
          <w:rFonts w:ascii="Arial" w:eastAsia="Arial" w:hAnsi="Arial" w:cs="Arial"/>
          <w:i/>
          <w:iCs/>
          <w:color w:val="9AADBD"/>
          <w:lang w:val="en-GB"/>
        </w:rPr>
        <w:t>Friday 15 March 2019</w:t>
      </w:r>
    </w:p>
    <w:p w:rsidR="000F004F" w:rsidRPr="000F004F" w:rsidRDefault="000F004F" w:rsidP="00451275">
      <w:pPr>
        <w:rPr>
          <w:rFonts w:ascii="Arial" w:eastAsia="Arial" w:hAnsi="Arial" w:cs="Times New Roman"/>
          <w:b/>
          <w:color w:val="029D96" w:themeColor="accent2"/>
          <w:lang w:val="en-GB"/>
        </w:rPr>
      </w:pPr>
      <w:r w:rsidRPr="000F004F">
        <w:rPr>
          <w:rFonts w:ascii="Arial" w:eastAsia="Arial" w:hAnsi="Arial" w:cs="Times New Roman"/>
          <w:b/>
          <w:noProof/>
          <w:color w:val="029D96" w:themeColor="accent2"/>
          <w:lang w:val="en-GB" w:eastAsia="en-GB"/>
        </w:rPr>
        <w:drawing>
          <wp:inline distT="0" distB="0" distL="0" distR="0" wp14:anchorId="5DBE7A0C" wp14:editId="6F5D03E2">
            <wp:extent cx="228600" cy="196596"/>
            <wp:effectExtent l="0" t="0" r="0" b="0"/>
            <wp:docPr id="1" name="Picture 1" descr="::::Desktop:twitter-logo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witter-logo_22.png"/>
                    <pic:cNvPicPr>
                      <a:picLocks noChangeAspect="1" noChangeArrowheads="1"/>
                    </pic:cNvPicPr>
                  </pic:nvPicPr>
                  <pic:blipFill>
                    <a:blip r:embed="rId8">
                      <a:duotone>
                        <a:prstClr val="black"/>
                        <a:schemeClr val="accent4">
                          <a:tint val="45000"/>
                          <a:satMod val="400000"/>
                        </a:schemeClr>
                      </a:duotone>
                    </a:blip>
                    <a:srcRect/>
                    <a:stretch>
                      <a:fillRect/>
                    </a:stretch>
                  </pic:blipFill>
                  <pic:spPr bwMode="auto">
                    <a:xfrm>
                      <a:off x="0" y="0"/>
                      <a:ext cx="235382" cy="202428"/>
                    </a:xfrm>
                    <a:prstGeom prst="rect">
                      <a:avLst/>
                    </a:prstGeom>
                    <a:noFill/>
                    <a:ln w="9525">
                      <a:noFill/>
                      <a:miter lim="800000"/>
                      <a:headEnd/>
                      <a:tailEnd/>
                    </a:ln>
                  </pic:spPr>
                </pic:pic>
              </a:graphicData>
            </a:graphic>
          </wp:inline>
        </w:drawing>
      </w:r>
      <w:r w:rsidRPr="000F004F">
        <w:rPr>
          <w:rFonts w:ascii="Arial" w:eastAsia="Arial" w:hAnsi="Arial" w:cs="Times New Roman"/>
          <w:b/>
          <w:color w:val="029D96" w:themeColor="accent2"/>
          <w:lang w:val="en-GB"/>
        </w:rPr>
        <w:t>@WEAHSN</w:t>
      </w:r>
    </w:p>
    <w:p w:rsidR="000F004F" w:rsidRPr="000F004F" w:rsidRDefault="000F004F" w:rsidP="00451275">
      <w:pPr>
        <w:keepNext/>
        <w:keepLines/>
        <w:spacing w:before="480" w:after="160"/>
        <w:outlineLvl w:val="0"/>
        <w:rPr>
          <w:rFonts w:ascii="Arial" w:eastAsia="Times New Roman" w:hAnsi="Arial" w:cs="Times New Roman"/>
          <w:b/>
          <w:bCs/>
          <w:color w:val="002E62"/>
          <w:sz w:val="28"/>
          <w:szCs w:val="28"/>
          <w:lang w:val="en-GB"/>
        </w:rPr>
      </w:pPr>
      <w:r w:rsidRPr="000F004F">
        <w:rPr>
          <w:rFonts w:ascii="Arial" w:eastAsia="Times New Roman" w:hAnsi="Arial" w:cs="Times New Roman"/>
          <w:b/>
          <w:bCs/>
          <w:color w:val="002E62"/>
          <w:sz w:val="28"/>
          <w:szCs w:val="28"/>
          <w:lang w:val="en-GB"/>
        </w:rPr>
        <w:t>1</w:t>
      </w:r>
      <w:r w:rsidRPr="000F004F">
        <w:rPr>
          <w:rFonts w:ascii="Arial" w:eastAsia="Times New Roman" w:hAnsi="Arial" w:cs="Times New Roman"/>
          <w:b/>
          <w:bCs/>
          <w:color w:val="002E62"/>
          <w:sz w:val="28"/>
          <w:szCs w:val="28"/>
          <w:lang w:val="en-GB"/>
        </w:rPr>
        <w:tab/>
        <w:t>Overview</w:t>
      </w:r>
    </w:p>
    <w:p w:rsidR="000F004F" w:rsidRPr="000F004F" w:rsidRDefault="000F004F" w:rsidP="00451275">
      <w:pPr>
        <w:keepNext/>
        <w:keepLines/>
        <w:spacing w:before="200" w:after="200"/>
        <w:outlineLvl w:val="2"/>
        <w:rPr>
          <w:rFonts w:ascii="Arial" w:eastAsia="Times New Roman" w:hAnsi="Arial" w:cs="Arial"/>
          <w:b/>
          <w:bCs/>
          <w:color w:val="013F84"/>
          <w:szCs w:val="22"/>
          <w:lang w:val="en-GB"/>
        </w:rPr>
      </w:pPr>
      <w:r w:rsidRPr="000F004F">
        <w:rPr>
          <w:rFonts w:ascii="Arial" w:eastAsia="Times New Roman" w:hAnsi="Arial" w:cs="Arial"/>
          <w:b/>
          <w:bCs/>
          <w:color w:val="013F84"/>
          <w:szCs w:val="22"/>
          <w:lang w:val="en-GB"/>
        </w:rPr>
        <w:t>About the West of England Academic Health Science Network</w:t>
      </w:r>
    </w:p>
    <w:p w:rsidR="000F004F" w:rsidRPr="000F004F" w:rsidRDefault="000F004F" w:rsidP="00451275">
      <w:pPr>
        <w:rPr>
          <w:rFonts w:ascii="Arial" w:eastAsia="Arial" w:hAnsi="Arial" w:cs="Times New Roman"/>
          <w:lang w:val="en-GB"/>
        </w:rPr>
      </w:pPr>
      <w:r w:rsidRPr="000F004F">
        <w:rPr>
          <w:rFonts w:ascii="Arial" w:eastAsia="Arial" w:hAnsi="Arial" w:cs="Times New Roman"/>
          <w:lang w:val="en-GB"/>
        </w:rPr>
        <w:t>The West of England AHSN is delivering positive healthcare outcomes locally and nationally by driving the development and adoption of new innovations and making a meaningful contribution to the economy.</w:t>
      </w:r>
    </w:p>
    <w:p w:rsidR="000F004F" w:rsidRPr="000F004F" w:rsidRDefault="000F004F" w:rsidP="00451275">
      <w:pPr>
        <w:rPr>
          <w:rFonts w:ascii="Arial" w:eastAsia="Arial" w:hAnsi="Arial" w:cs="Times New Roman"/>
          <w:lang w:val="en-GB"/>
        </w:rPr>
      </w:pPr>
      <w:r w:rsidRPr="000F004F">
        <w:rPr>
          <w:rFonts w:ascii="Arial" w:eastAsia="Arial" w:hAnsi="Arial" w:cs="Times New Roman"/>
          <w:lang w:val="en-GB"/>
        </w:rPr>
        <w:t>Established by NHS England in 2013, we are one of 15 AHSNs across England established to spread innovation at pace and scale.</w:t>
      </w:r>
    </w:p>
    <w:p w:rsidR="000F004F" w:rsidRPr="000F004F" w:rsidRDefault="000F004F" w:rsidP="00451275">
      <w:pPr>
        <w:rPr>
          <w:rFonts w:ascii="Arial" w:eastAsia="Arial" w:hAnsi="Arial" w:cs="Times New Roman"/>
          <w:lang w:val="en-GB"/>
        </w:rPr>
      </w:pPr>
      <w:r w:rsidRPr="000F004F">
        <w:rPr>
          <w:rFonts w:ascii="Arial" w:eastAsia="Arial" w:hAnsi="Arial" w:cs="Times New Roman"/>
          <w:lang w:val="en-GB"/>
        </w:rPr>
        <w:t>As the only bodies that connect NHS and academic organisations, the third sector and industry, we are catalysts that create the right conditions to facilitate change across whole health and social care economies, with a clear focus on improving outcomes for patients.</w:t>
      </w:r>
    </w:p>
    <w:p w:rsidR="000F004F" w:rsidRPr="000F004F" w:rsidRDefault="000F004F" w:rsidP="00451275">
      <w:pPr>
        <w:keepNext/>
        <w:keepLines/>
        <w:spacing w:before="200" w:after="200"/>
        <w:outlineLvl w:val="2"/>
        <w:rPr>
          <w:rFonts w:ascii="Arial" w:eastAsia="Times New Roman" w:hAnsi="Arial" w:cs="Arial"/>
          <w:b/>
          <w:bCs/>
          <w:color w:val="013F84"/>
          <w:szCs w:val="22"/>
          <w:lang w:val="en-GB"/>
        </w:rPr>
      </w:pPr>
      <w:r w:rsidRPr="000F004F">
        <w:rPr>
          <w:rFonts w:ascii="Arial" w:eastAsia="Times New Roman" w:hAnsi="Arial" w:cs="Arial"/>
          <w:b/>
          <w:bCs/>
          <w:color w:val="013F84"/>
          <w:szCs w:val="22"/>
          <w:lang w:val="en-GB"/>
        </w:rPr>
        <w:t>About the meeting</w:t>
      </w:r>
    </w:p>
    <w:p w:rsidR="000F004F" w:rsidRPr="000F004F" w:rsidRDefault="000F004F" w:rsidP="00451275">
      <w:pPr>
        <w:spacing w:before="120" w:after="120"/>
        <w:rPr>
          <w:rFonts w:ascii="Arial" w:eastAsia="Arial" w:hAnsi="Arial" w:cs="Arial"/>
          <w:color w:val="000000"/>
          <w:lang w:val="en-GB"/>
        </w:rPr>
      </w:pPr>
      <w:r w:rsidRPr="000F004F">
        <w:rPr>
          <w:rFonts w:ascii="Arial" w:eastAsia="Arial" w:hAnsi="Arial" w:cs="Arial"/>
          <w:color w:val="000000"/>
          <w:lang w:val="en-GB"/>
        </w:rPr>
        <w:t>The West of England Patient Safety Collaborative Board asked the Patient Safety Collaborative team to discuss and scope out the potential to incorporate a project on frailty into the Patient Safety Collaborative work plan for 2017/18.</w:t>
      </w:r>
    </w:p>
    <w:p w:rsidR="000F004F" w:rsidRPr="000F004F" w:rsidRDefault="000F004F" w:rsidP="00451275">
      <w:pPr>
        <w:spacing w:before="120" w:after="120"/>
        <w:rPr>
          <w:rFonts w:ascii="Arial" w:eastAsia="Arial" w:hAnsi="Arial" w:cs="Arial"/>
          <w:color w:val="000000"/>
          <w:lang w:val="en-GB"/>
        </w:rPr>
      </w:pPr>
      <w:r w:rsidRPr="000F004F">
        <w:rPr>
          <w:rFonts w:ascii="Arial" w:eastAsia="Arial" w:hAnsi="Arial" w:cs="Arial"/>
          <w:color w:val="000000"/>
          <w:lang w:val="en-GB"/>
        </w:rPr>
        <w:t>A focus group was held on 16 March and the project lead attended the national AHSN sharing day on frailty. Discussions have taken place with individuals who have expressed an interest in working on improving safety for people with frailty.</w:t>
      </w:r>
    </w:p>
    <w:p w:rsidR="000F004F" w:rsidRPr="000F004F" w:rsidRDefault="000F004F" w:rsidP="00451275">
      <w:pPr>
        <w:spacing w:before="120" w:after="120"/>
        <w:rPr>
          <w:rFonts w:ascii="Arial" w:eastAsia="Arial" w:hAnsi="Arial" w:cs="Arial"/>
          <w:color w:val="000000"/>
          <w:lang w:val="en-GB"/>
        </w:rPr>
      </w:pPr>
      <w:r w:rsidRPr="000F004F">
        <w:rPr>
          <w:rFonts w:ascii="Arial" w:eastAsia="Arial" w:hAnsi="Arial" w:cs="Arial"/>
          <w:color w:val="000000"/>
          <w:lang w:val="en-GB"/>
        </w:rPr>
        <w:t>Following an expert reference group meeting on 16 June the first frailty Community of Practice meeting was held on 1 September 2017 and saw 14 attendees from 11 member organisations including acute Trusts, CCGs, community providers and mental health Trusts. 16 attendees from 10 organisations attended on 3 November in Gloucester with a topic focus on MDTs.</w:t>
      </w:r>
    </w:p>
    <w:p w:rsidR="000F004F" w:rsidRPr="000F004F" w:rsidRDefault="000F004F" w:rsidP="00451275">
      <w:pPr>
        <w:tabs>
          <w:tab w:val="left" w:pos="3490"/>
        </w:tabs>
        <w:rPr>
          <w:rFonts w:ascii="Arial" w:eastAsia="Arial" w:hAnsi="Arial" w:cs="Arial"/>
          <w:color w:val="000000"/>
          <w:lang w:val="en-GB"/>
        </w:rPr>
      </w:pPr>
      <w:r w:rsidRPr="000F004F">
        <w:rPr>
          <w:rFonts w:ascii="Arial" w:eastAsia="Arial" w:hAnsi="Arial" w:cs="Arial"/>
          <w:color w:val="000000"/>
          <w:lang w:val="en-GB"/>
        </w:rPr>
        <w:t>The group agreed the Community of Practice would be called “From Frailty to Resilience” and agreed to share resources and experience via meetings every two to three months. Four meetings have been held so far.</w:t>
      </w:r>
    </w:p>
    <w:p w:rsidR="000F004F" w:rsidRPr="000F004F" w:rsidRDefault="000F004F" w:rsidP="00451275">
      <w:pPr>
        <w:tabs>
          <w:tab w:val="left" w:pos="3490"/>
        </w:tabs>
        <w:rPr>
          <w:rFonts w:ascii="Arial" w:eastAsia="Arial" w:hAnsi="Arial" w:cs="Arial"/>
          <w:color w:val="000000"/>
          <w:lang w:val="en-GB"/>
        </w:rPr>
      </w:pPr>
      <w:r w:rsidRPr="000F004F">
        <w:rPr>
          <w:rFonts w:ascii="Arial" w:eastAsia="Arial" w:hAnsi="Arial" w:cs="Arial"/>
          <w:color w:val="000000"/>
          <w:lang w:val="en-GB"/>
        </w:rPr>
        <w:t xml:space="preserve">There are currently </w:t>
      </w:r>
      <w:r w:rsidR="00EB1BB4">
        <w:rPr>
          <w:rFonts w:ascii="Arial" w:eastAsia="Arial" w:hAnsi="Arial" w:cs="Arial"/>
          <w:color w:val="000000"/>
          <w:lang w:val="en-GB"/>
        </w:rPr>
        <w:t>60</w:t>
      </w:r>
      <w:r w:rsidRPr="000F004F">
        <w:rPr>
          <w:rFonts w:ascii="Arial" w:eastAsia="Arial" w:hAnsi="Arial" w:cs="Arial"/>
          <w:color w:val="000000"/>
          <w:lang w:val="en-GB"/>
        </w:rPr>
        <w:t xml:space="preserve"> members of the frailty community of practice distribution list covering 2</w:t>
      </w:r>
      <w:r w:rsidR="00EB1BB4">
        <w:rPr>
          <w:rFonts w:ascii="Arial" w:eastAsia="Arial" w:hAnsi="Arial" w:cs="Arial"/>
          <w:color w:val="000000"/>
          <w:lang w:val="en-GB"/>
        </w:rPr>
        <w:t>5</w:t>
      </w:r>
      <w:r w:rsidRPr="000F004F">
        <w:rPr>
          <w:rFonts w:ascii="Arial" w:eastAsia="Arial" w:hAnsi="Arial" w:cs="Arial"/>
          <w:color w:val="000000"/>
          <w:lang w:val="en-GB"/>
        </w:rPr>
        <w:t xml:space="preserve"> organisations.</w:t>
      </w:r>
    </w:p>
    <w:p w:rsidR="000F004F" w:rsidRPr="000F004F" w:rsidRDefault="000F004F" w:rsidP="00451275">
      <w:pPr>
        <w:keepNext/>
        <w:keepLines/>
        <w:spacing w:before="200" w:after="240"/>
        <w:outlineLvl w:val="1"/>
        <w:rPr>
          <w:rFonts w:ascii="Arial" w:eastAsia="Times New Roman" w:hAnsi="Arial" w:cs="Times New Roman"/>
          <w:b/>
          <w:bCs/>
          <w:color w:val="013F84"/>
          <w:sz w:val="26"/>
          <w:szCs w:val="26"/>
          <w:lang w:val="en-GB"/>
        </w:rPr>
      </w:pPr>
      <w:r w:rsidRPr="000F004F">
        <w:rPr>
          <w:rFonts w:ascii="Arial" w:eastAsia="Times New Roman" w:hAnsi="Arial" w:cs="Times New Roman"/>
          <w:b/>
          <w:bCs/>
          <w:color w:val="013F84"/>
          <w:sz w:val="26"/>
          <w:szCs w:val="26"/>
          <w:lang w:val="en-GB"/>
        </w:rPr>
        <w:t>2</w:t>
      </w:r>
      <w:r w:rsidRPr="000F004F">
        <w:rPr>
          <w:rFonts w:ascii="Arial" w:eastAsia="Times New Roman" w:hAnsi="Arial" w:cs="Times New Roman"/>
          <w:b/>
          <w:bCs/>
          <w:color w:val="013F84"/>
          <w:sz w:val="26"/>
          <w:szCs w:val="26"/>
          <w:lang w:val="en-GB"/>
        </w:rPr>
        <w:tab/>
        <w:t>What is Frailty?</w:t>
      </w:r>
    </w:p>
    <w:p w:rsidR="000F004F" w:rsidRPr="000F004F" w:rsidRDefault="000F004F" w:rsidP="00451275">
      <w:pPr>
        <w:rPr>
          <w:rFonts w:ascii="Arial" w:eastAsia="Arial" w:hAnsi="Arial" w:cs="Times New Roman"/>
          <w:lang w:val="en-GB"/>
        </w:rPr>
      </w:pPr>
      <w:r w:rsidRPr="000F004F">
        <w:rPr>
          <w:rFonts w:ascii="Arial" w:eastAsia="Arial" w:hAnsi="Arial" w:cs="Times New Roman"/>
          <w:lang w:val="en-GB"/>
        </w:rPr>
        <w:t>NHS England have defined frailty as a progressive, long term condition characterised by a loss of physical and/or cognitive resilience that means people living with frailty do not bounce back quickly after an acute stressor event such as a physical illness, an accident or other stressful event.</w:t>
      </w:r>
    </w:p>
    <w:p w:rsidR="000F004F" w:rsidRPr="000F004F" w:rsidRDefault="000F004F" w:rsidP="00451275">
      <w:pPr>
        <w:keepNext/>
        <w:keepLines/>
        <w:spacing w:before="200" w:after="200"/>
        <w:outlineLvl w:val="2"/>
        <w:rPr>
          <w:rFonts w:ascii="Arial" w:eastAsia="Times New Roman" w:hAnsi="Arial" w:cs="Arial"/>
          <w:b/>
          <w:bCs/>
          <w:color w:val="013F84"/>
          <w:szCs w:val="22"/>
          <w:lang w:val="en-GB"/>
        </w:rPr>
      </w:pPr>
      <w:r w:rsidRPr="000F004F">
        <w:rPr>
          <w:rFonts w:ascii="Arial" w:eastAsia="Times New Roman" w:hAnsi="Arial" w:cs="Arial"/>
          <w:b/>
          <w:bCs/>
          <w:color w:val="013F84"/>
          <w:szCs w:val="22"/>
          <w:lang w:val="en-GB"/>
        </w:rPr>
        <w:lastRenderedPageBreak/>
        <w:t>Why Frailty is Important</w:t>
      </w:r>
    </w:p>
    <w:p w:rsidR="000F004F" w:rsidRPr="000F004F" w:rsidRDefault="000F004F" w:rsidP="00451275">
      <w:pPr>
        <w:rPr>
          <w:rFonts w:ascii="Arial" w:eastAsia="Arial" w:hAnsi="Arial" w:cs="Times New Roman"/>
          <w:lang w:val="en-GB"/>
        </w:rPr>
      </w:pPr>
      <w:r w:rsidRPr="000F004F">
        <w:rPr>
          <w:rFonts w:ascii="Arial" w:eastAsia="Arial" w:hAnsi="Arial" w:cs="Times New Roman"/>
          <w:lang w:val="en-GB"/>
        </w:rPr>
        <w:t>The population of England is ageing. By 2040, nearly one in seven people are projected to be over 75. Whilst frailty is associated with age it is not the same: not all older people live with frailty and not all people living with frailty are old. Many of the factors that cause people to age differently are amenable to population-level interventions based on lifestyle choices and exercise. Frailty (rather than age) is effective as a means of identifying people who may be at greater risk of future hospitalisation, care home admission or death. For example, people living with severe frailty have a four times greater one-year hazard ratio for these outcomes. This means population-level frailty identification can help anticipate future health and social care demand.</w:t>
      </w:r>
    </w:p>
    <w:p w:rsidR="000F004F" w:rsidRPr="000F004F" w:rsidRDefault="000F004F" w:rsidP="00451275">
      <w:pPr>
        <w:rPr>
          <w:rFonts w:ascii="Arial" w:eastAsia="Arial" w:hAnsi="Arial" w:cs="Times New Roman"/>
          <w:lang w:val="en-GB"/>
        </w:rPr>
      </w:pPr>
      <w:r w:rsidRPr="000F004F">
        <w:rPr>
          <w:rFonts w:ascii="Arial" w:eastAsia="Arial" w:hAnsi="Arial" w:cs="Times New Roman"/>
          <w:lang w:val="en-GB"/>
        </w:rPr>
        <w:t>Accelerating population ageing coupled with existing health system pressures means it is important for local areas to take action to provide a more sustainable, whole-system approach to managing frailty that ensures that we have the rights types of services in the right quantities to meet demand. For example, the number of people aged 65 to 69 has grown by 34% in the last 10 years, with corresponding hospital admissions growing by 57%.</w:t>
      </w:r>
    </w:p>
    <w:p w:rsidR="000F004F" w:rsidRDefault="000F004F" w:rsidP="00451275">
      <w:pPr>
        <w:keepNext/>
        <w:keepLines/>
        <w:spacing w:before="200" w:after="240"/>
        <w:outlineLvl w:val="1"/>
        <w:rPr>
          <w:rFonts w:ascii="Arial" w:eastAsia="Times New Roman" w:hAnsi="Arial" w:cs="Times New Roman"/>
          <w:b/>
          <w:bCs/>
          <w:color w:val="013F84"/>
          <w:sz w:val="26"/>
          <w:szCs w:val="26"/>
          <w:lang w:val="en-GB"/>
        </w:rPr>
      </w:pPr>
      <w:r w:rsidRPr="000F004F">
        <w:rPr>
          <w:rFonts w:ascii="Arial" w:eastAsia="Times New Roman" w:hAnsi="Arial" w:cs="Times New Roman"/>
          <w:b/>
          <w:bCs/>
          <w:color w:val="013F84"/>
          <w:sz w:val="26"/>
          <w:szCs w:val="26"/>
          <w:lang w:val="en-GB"/>
        </w:rPr>
        <w:t>3</w:t>
      </w:r>
      <w:r w:rsidRPr="000F004F">
        <w:rPr>
          <w:rFonts w:ascii="Arial" w:eastAsia="Times New Roman" w:hAnsi="Arial" w:cs="Times New Roman"/>
          <w:b/>
          <w:bCs/>
          <w:color w:val="013F84"/>
          <w:sz w:val="26"/>
          <w:szCs w:val="26"/>
          <w:lang w:val="en-GB"/>
        </w:rPr>
        <w:tab/>
        <w:t>Discussions</w:t>
      </w:r>
    </w:p>
    <w:p w:rsidR="00AC26FF" w:rsidRDefault="001442D9" w:rsidP="0020445A">
      <w:pPr>
        <w:rPr>
          <w:lang w:val="en-GB"/>
        </w:rPr>
      </w:pPr>
      <w:r>
        <w:rPr>
          <w:lang w:val="en-GB"/>
        </w:rPr>
        <w:t xml:space="preserve">8 attendees from 6 organisations attended on 15 March. </w:t>
      </w:r>
      <w:r w:rsidR="0020445A">
        <w:rPr>
          <w:lang w:val="en-GB"/>
        </w:rPr>
        <w:t xml:space="preserve">The discussions </w:t>
      </w:r>
      <w:r>
        <w:rPr>
          <w:lang w:val="en-GB"/>
        </w:rPr>
        <w:t xml:space="preserve">included </w:t>
      </w:r>
      <w:r w:rsidR="0020445A">
        <w:rPr>
          <w:lang w:val="en-GB"/>
        </w:rPr>
        <w:t xml:space="preserve">updates on topics previously discussed. </w:t>
      </w:r>
    </w:p>
    <w:p w:rsidR="0020445A" w:rsidRDefault="0020445A" w:rsidP="0020445A">
      <w:pPr>
        <w:pStyle w:val="ListParagraph"/>
        <w:numPr>
          <w:ilvl w:val="0"/>
          <w:numId w:val="16"/>
        </w:numPr>
      </w:pPr>
      <w:r>
        <w:rPr>
          <w:b/>
        </w:rPr>
        <w:t>Comprehensive Geriatric Assessments (CGA)</w:t>
      </w:r>
      <w:r>
        <w:t xml:space="preserve"> – the British Geriatric Society are working on a standardised CGA. </w:t>
      </w:r>
    </w:p>
    <w:p w:rsidR="0020445A" w:rsidRDefault="00752DD2" w:rsidP="0020445A">
      <w:pPr>
        <w:pStyle w:val="ListParagraph"/>
        <w:numPr>
          <w:ilvl w:val="1"/>
          <w:numId w:val="16"/>
        </w:numPr>
      </w:pPr>
      <w:hyperlink r:id="rId9" w:history="1">
        <w:r w:rsidR="0020445A" w:rsidRPr="00785E16">
          <w:rPr>
            <w:rStyle w:val="Hyperlink"/>
          </w:rPr>
          <w:t>https://www.bgs.org.uk/topics/cga-in-community-settings</w:t>
        </w:r>
      </w:hyperlink>
    </w:p>
    <w:p w:rsidR="0020445A" w:rsidRDefault="0020445A" w:rsidP="0020445A">
      <w:pPr>
        <w:pStyle w:val="ListParagraph"/>
        <w:numPr>
          <w:ilvl w:val="1"/>
          <w:numId w:val="16"/>
        </w:numPr>
      </w:pPr>
      <w:r w:rsidRPr="0020445A">
        <w:t>https://www.bgs.org.uk/topics/cga-in-acute-settings</w:t>
      </w:r>
    </w:p>
    <w:p w:rsidR="0020445A" w:rsidRDefault="0020445A" w:rsidP="0020445A">
      <w:pPr>
        <w:pStyle w:val="ListParagraph"/>
        <w:numPr>
          <w:ilvl w:val="0"/>
          <w:numId w:val="16"/>
        </w:numPr>
      </w:pPr>
      <w:r>
        <w:rPr>
          <w:b/>
        </w:rPr>
        <w:t>Research report published 22 March 2019</w:t>
      </w:r>
      <w:r w:rsidRPr="0020445A">
        <w:t>:</w:t>
      </w:r>
      <w:r>
        <w:t xml:space="preserve"> </w:t>
      </w:r>
      <w:r w:rsidRPr="0020445A">
        <w:t>Can Comprehensive Geriatric Assessment be delivered without the need for geriatricians? A formative evaluation in two perioperative surgical settings</w:t>
      </w:r>
      <w:r>
        <w:t xml:space="preserve"> </w:t>
      </w:r>
      <w:hyperlink r:id="rId10" w:history="1">
        <w:r w:rsidRPr="00785E16">
          <w:rPr>
            <w:rStyle w:val="Hyperlink"/>
          </w:rPr>
          <w:t>https://www.thisinstitute.cam.ac.uk/research-articles/can-comprehensive-geriatric-assessment-delivered-without-need-geriatricians-formative-evaluation-two-perioperative-surgical-settings/</w:t>
        </w:r>
      </w:hyperlink>
      <w:r>
        <w:t xml:space="preserve"> </w:t>
      </w:r>
    </w:p>
    <w:p w:rsidR="0020445A" w:rsidRDefault="0020445A" w:rsidP="0020445A">
      <w:pPr>
        <w:pStyle w:val="ListParagraph"/>
        <w:numPr>
          <w:ilvl w:val="0"/>
          <w:numId w:val="16"/>
        </w:numPr>
      </w:pPr>
      <w:r>
        <w:rPr>
          <w:b/>
        </w:rPr>
        <w:t>Weston Geriatric Emergency Medicine Service (GEM)</w:t>
      </w:r>
      <w:r>
        <w:t xml:space="preserve"> has just started this week. The service is front-door based in the emergency department </w:t>
      </w:r>
      <w:r w:rsidR="002954C0">
        <w:t xml:space="preserve">aiming to provide a CGA response for patients over the age of 75 with a Rockwood 5-8 (excluding patients on a defined pathway e.g. #NOF/ stroke). </w:t>
      </w:r>
      <w:r w:rsidR="004C1D72">
        <w:t xml:space="preserve">Staffed 10am – 8pm, Monday – Friday. </w:t>
      </w:r>
    </w:p>
    <w:p w:rsidR="004C1D72" w:rsidRDefault="004C1D72" w:rsidP="0020445A">
      <w:pPr>
        <w:pStyle w:val="ListParagraph"/>
        <w:numPr>
          <w:ilvl w:val="0"/>
          <w:numId w:val="16"/>
        </w:numPr>
      </w:pPr>
      <w:r>
        <w:rPr>
          <w:b/>
        </w:rPr>
        <w:t xml:space="preserve">Bath </w:t>
      </w:r>
      <w:r>
        <w:t xml:space="preserve">frailty flying squad and </w:t>
      </w:r>
      <w:r>
        <w:rPr>
          <w:b/>
        </w:rPr>
        <w:t xml:space="preserve">Gloucestershire </w:t>
      </w:r>
      <w:r>
        <w:t xml:space="preserve">OPAL teams continue to support people with frailty attending their units at the front-door. In </w:t>
      </w:r>
      <w:r w:rsidRPr="004C1D72">
        <w:rPr>
          <w:b/>
        </w:rPr>
        <w:t>NBT</w:t>
      </w:r>
      <w:r>
        <w:t xml:space="preserve"> the Complex Assessment and Liaison Service (CALS) supported after admission. </w:t>
      </w:r>
    </w:p>
    <w:p w:rsidR="00B2672E" w:rsidRDefault="00B2672E" w:rsidP="0020445A">
      <w:pPr>
        <w:pStyle w:val="ListParagraph"/>
        <w:numPr>
          <w:ilvl w:val="0"/>
          <w:numId w:val="16"/>
        </w:numPr>
      </w:pPr>
      <w:r>
        <w:rPr>
          <w:b/>
        </w:rPr>
        <w:t xml:space="preserve">Gloucestershire JUYI (joining up your info) </w:t>
      </w:r>
      <w:r>
        <w:t xml:space="preserve">project is working to create a read-only system pulling from GP, mental health, community, adult social care systems with a front page with medications, last few GP contacts, and other information. At present does not pull from acute services. </w:t>
      </w:r>
    </w:p>
    <w:p w:rsidR="00B2672E" w:rsidRDefault="00B2672E" w:rsidP="0020445A">
      <w:pPr>
        <w:pStyle w:val="ListParagraph"/>
        <w:numPr>
          <w:ilvl w:val="0"/>
          <w:numId w:val="16"/>
        </w:numPr>
      </w:pPr>
      <w:r>
        <w:rPr>
          <w:b/>
        </w:rPr>
        <w:t>Sirona</w:t>
      </w:r>
      <w:r>
        <w:t xml:space="preserve"> are carrying out training looking at competencies </w:t>
      </w:r>
      <w:r w:rsidR="009B1E65">
        <w:t>in the area and working with care homes via the C</w:t>
      </w:r>
      <w:r w:rsidR="003770B2">
        <w:t xml:space="preserve">EPN (community education provider network). </w:t>
      </w:r>
    </w:p>
    <w:p w:rsidR="003770B2" w:rsidRDefault="003770B2" w:rsidP="0020445A">
      <w:pPr>
        <w:pStyle w:val="ListParagraph"/>
        <w:numPr>
          <w:ilvl w:val="0"/>
          <w:numId w:val="16"/>
        </w:numPr>
      </w:pPr>
      <w:r>
        <w:rPr>
          <w:b/>
        </w:rPr>
        <w:t>Wellbeing score</w:t>
      </w:r>
      <w:r>
        <w:t xml:space="preserve"> in Sirona includes measuring social isolation, anxiety, and happiness but some questions are not well phrased, e.g. “how worthwhile do you feel?”</w:t>
      </w:r>
      <w:r w:rsidR="004C1D72">
        <w:t xml:space="preserve"> </w:t>
      </w:r>
    </w:p>
    <w:p w:rsidR="004C1D72" w:rsidRDefault="004C1D72" w:rsidP="004C1D72">
      <w:pPr>
        <w:pStyle w:val="ListParagraph"/>
        <w:numPr>
          <w:ilvl w:val="0"/>
          <w:numId w:val="16"/>
        </w:numPr>
      </w:pPr>
      <w:r>
        <w:rPr>
          <w:b/>
        </w:rPr>
        <w:t xml:space="preserve">Carers </w:t>
      </w:r>
      <w:r w:rsidRPr="004C1D72">
        <w:t>– DemQOL is being used for quality of life scale.</w:t>
      </w:r>
      <w:r>
        <w:rPr>
          <w:b/>
        </w:rPr>
        <w:t xml:space="preserve"> </w:t>
      </w:r>
      <w:hyperlink r:id="rId11" w:history="1">
        <w:r w:rsidRPr="004C1D72">
          <w:rPr>
            <w:rStyle w:val="Hyperlink"/>
          </w:rPr>
          <w:t>https://www.bsms.ac.uk/research/neuroscience/cds/research/demqol.aspx</w:t>
        </w:r>
      </w:hyperlink>
      <w:r>
        <w:rPr>
          <w:b/>
        </w:rPr>
        <w:t xml:space="preserve"> </w:t>
      </w:r>
    </w:p>
    <w:p w:rsidR="009B1E65" w:rsidRDefault="009B1E65" w:rsidP="0020445A">
      <w:pPr>
        <w:pStyle w:val="ListParagraph"/>
        <w:numPr>
          <w:ilvl w:val="0"/>
          <w:numId w:val="16"/>
        </w:numPr>
      </w:pPr>
      <w:r>
        <w:rPr>
          <w:b/>
        </w:rPr>
        <w:lastRenderedPageBreak/>
        <w:t>Mental health services</w:t>
      </w:r>
      <w:r>
        <w:t xml:space="preserve"> are seeing people who are more physically frail coming into their services, including learning disabilities and eating disorders. They are using the Rockwood score. </w:t>
      </w:r>
    </w:p>
    <w:p w:rsidR="004C1D72" w:rsidRDefault="004C1D72" w:rsidP="004C1D72">
      <w:pPr>
        <w:pStyle w:val="ListParagraph"/>
        <w:numPr>
          <w:ilvl w:val="0"/>
          <w:numId w:val="16"/>
        </w:numPr>
      </w:pPr>
      <w:r>
        <w:rPr>
          <w:b/>
        </w:rPr>
        <w:t xml:space="preserve">UWE </w:t>
      </w:r>
      <w:r>
        <w:t xml:space="preserve">have an Advanced Practice Apprenticeship care pathway, but not all areas have posts available post-training. </w:t>
      </w:r>
      <w:hyperlink r:id="rId12" w:history="1">
        <w:r w:rsidRPr="00785E16">
          <w:rPr>
            <w:rStyle w:val="Hyperlink"/>
          </w:rPr>
          <w:t>https://www1.uwe.ac.uk/business/degreeapprenticeships/currentdegreeapprenticeships/advancedclinicalpractitioner.aspx</w:t>
        </w:r>
      </w:hyperlink>
      <w:r>
        <w:t xml:space="preserve"> </w:t>
      </w:r>
    </w:p>
    <w:p w:rsidR="004C1D72" w:rsidRDefault="004C1D72" w:rsidP="004C1D72">
      <w:pPr>
        <w:pStyle w:val="ListParagraph"/>
        <w:numPr>
          <w:ilvl w:val="0"/>
          <w:numId w:val="16"/>
        </w:numPr>
      </w:pPr>
      <w:r>
        <w:rPr>
          <w:b/>
        </w:rPr>
        <w:t xml:space="preserve">AWP </w:t>
      </w:r>
      <w:r>
        <w:t xml:space="preserve">are doing frailty awareness training for all staff, particularly for staff with mental health but not “health” background. </w:t>
      </w:r>
    </w:p>
    <w:p w:rsidR="004C1D72" w:rsidRDefault="004C1D72" w:rsidP="004C1D72">
      <w:pPr>
        <w:pStyle w:val="ListParagraph"/>
        <w:numPr>
          <w:ilvl w:val="0"/>
          <w:numId w:val="16"/>
        </w:numPr>
      </w:pPr>
      <w:r>
        <w:rPr>
          <w:b/>
        </w:rPr>
        <w:t xml:space="preserve">Radiology </w:t>
      </w:r>
      <w:r>
        <w:t xml:space="preserve">staff in Weston have received frailty awareness training and as a result more conversations are happening around invasive procedures to discuss whether procedures are appropriate. They are also working with palliative care teams and advanced care practitioners to improve the recognition of people dying. </w:t>
      </w:r>
    </w:p>
    <w:p w:rsidR="004C1D72" w:rsidRDefault="004C1D72" w:rsidP="004C1D72">
      <w:pPr>
        <w:pStyle w:val="ListParagraph"/>
        <w:numPr>
          <w:ilvl w:val="0"/>
          <w:numId w:val="16"/>
        </w:numPr>
      </w:pPr>
      <w:r w:rsidRPr="004C1D72">
        <w:t xml:space="preserve">Some older people with </w:t>
      </w:r>
      <w:r w:rsidRPr="004C1D72">
        <w:rPr>
          <w:b/>
        </w:rPr>
        <w:t>frailty and drug/ alcohol</w:t>
      </w:r>
      <w:r w:rsidRPr="004C1D72">
        <w:t xml:space="preserve"> problems</w:t>
      </w:r>
      <w:r>
        <w:t xml:space="preserve"> are better served by a more focused approach: “never judge a frail book by its cover” </w:t>
      </w:r>
    </w:p>
    <w:p w:rsidR="00C779B3" w:rsidRDefault="00C779B3" w:rsidP="004C1D72">
      <w:pPr>
        <w:pStyle w:val="ListParagraph"/>
        <w:numPr>
          <w:ilvl w:val="0"/>
          <w:numId w:val="16"/>
        </w:numPr>
      </w:pPr>
      <w:r>
        <w:t xml:space="preserve">Gloucestershire “Find and Prevent” data is being used to identify individuals who may benefit from more support at an MDT discussion, and a similar Solis risk assessment process is used in other areas. They are also using the REDFLAG criteria to identify patients at risk. </w:t>
      </w:r>
    </w:p>
    <w:p w:rsidR="00732616" w:rsidRPr="004C1D72" w:rsidRDefault="00732616" w:rsidP="004C1D72">
      <w:pPr>
        <w:pStyle w:val="ListParagraph"/>
        <w:numPr>
          <w:ilvl w:val="0"/>
          <w:numId w:val="16"/>
        </w:numPr>
      </w:pPr>
      <w:r>
        <w:t xml:space="preserve">The medical model doesn’t always work with people with frailty, and a biomedical model involving a </w:t>
      </w:r>
      <w:r w:rsidR="00896945">
        <w:t xml:space="preserve">multi-disciplinary approach is much better at coordinating care. </w:t>
      </w:r>
    </w:p>
    <w:p w:rsidR="000F004F" w:rsidRPr="000F004F" w:rsidRDefault="000F004F" w:rsidP="00451275">
      <w:pPr>
        <w:keepNext/>
        <w:keepLines/>
        <w:spacing w:before="200" w:after="240"/>
        <w:outlineLvl w:val="1"/>
        <w:rPr>
          <w:rFonts w:ascii="Arial" w:eastAsia="Times New Roman" w:hAnsi="Arial" w:cs="Arial"/>
          <w:b/>
          <w:bCs/>
          <w:color w:val="013F84"/>
          <w:sz w:val="26"/>
          <w:szCs w:val="26"/>
          <w:lang w:val="en-GB"/>
        </w:rPr>
      </w:pPr>
      <w:r w:rsidRPr="000F004F">
        <w:rPr>
          <w:rFonts w:ascii="Arial" w:eastAsia="Times New Roman" w:hAnsi="Arial" w:cs="Arial"/>
          <w:b/>
          <w:bCs/>
          <w:color w:val="013F84"/>
          <w:sz w:val="26"/>
          <w:szCs w:val="26"/>
          <w:lang w:val="en-GB"/>
        </w:rPr>
        <w:t>4</w:t>
      </w:r>
      <w:r w:rsidRPr="000F004F">
        <w:rPr>
          <w:rFonts w:ascii="Arial" w:eastAsia="Times New Roman" w:hAnsi="Arial" w:cs="Arial"/>
          <w:b/>
          <w:bCs/>
          <w:color w:val="013F84"/>
          <w:sz w:val="26"/>
          <w:szCs w:val="26"/>
          <w:lang w:val="en-GB"/>
        </w:rPr>
        <w:tab/>
        <w:t>Resources shared</w:t>
      </w:r>
    </w:p>
    <w:p w:rsidR="00E07D01" w:rsidRDefault="00E07D01" w:rsidP="00451275">
      <w:pPr>
        <w:rPr>
          <w:rFonts w:asciiTheme="majorHAnsi" w:hAnsiTheme="majorHAnsi" w:cstheme="majorHAnsi"/>
          <w:lang w:val="en-GB"/>
        </w:rPr>
      </w:pPr>
      <w:r w:rsidRPr="00E07D01">
        <w:rPr>
          <w:rFonts w:ascii="Arial" w:eastAsia="Arial" w:hAnsi="Arial" w:cs="Times New Roman"/>
          <w:lang w:val="en-GB"/>
        </w:rPr>
        <w:t>Output reports</w:t>
      </w:r>
      <w:r>
        <w:rPr>
          <w:rFonts w:ascii="Arial" w:eastAsia="Arial" w:hAnsi="Arial" w:cs="Times New Roman"/>
          <w:lang w:val="en-GB"/>
        </w:rPr>
        <w:t xml:space="preserve"> from previous meetings including resources shared are available at </w:t>
      </w:r>
      <w:hyperlink r:id="rId13" w:history="1">
        <w:r w:rsidRPr="00BB3897">
          <w:rPr>
            <w:rStyle w:val="Hyperlink"/>
            <w:rFonts w:asciiTheme="majorHAnsi" w:hAnsiTheme="majorHAnsi" w:cstheme="majorHAnsi"/>
            <w:lang w:val="en-GB"/>
          </w:rPr>
          <w:t>www.weahsn.net/frailty</w:t>
        </w:r>
      </w:hyperlink>
      <w:r>
        <w:rPr>
          <w:rFonts w:asciiTheme="majorHAnsi" w:hAnsiTheme="majorHAnsi" w:cstheme="majorHAnsi"/>
          <w:lang w:val="en-GB"/>
        </w:rPr>
        <w:t xml:space="preserve"> </w:t>
      </w:r>
    </w:p>
    <w:p w:rsidR="004C1D72" w:rsidRPr="004C1D72" w:rsidRDefault="004C1D72" w:rsidP="004C1D72">
      <w:pPr>
        <w:rPr>
          <w:rFonts w:asciiTheme="majorHAnsi" w:hAnsiTheme="majorHAnsi" w:cstheme="majorHAnsi"/>
          <w:lang w:val="en-GB"/>
        </w:rPr>
      </w:pPr>
      <w:bookmarkStart w:id="1" w:name="_MailOriginal"/>
      <w:r w:rsidRPr="004C1D72">
        <w:rPr>
          <w:rFonts w:asciiTheme="majorHAnsi" w:hAnsiTheme="majorHAnsi" w:cstheme="majorHAnsi"/>
          <w:lang w:val="en-GB"/>
        </w:rPr>
        <w:t xml:space="preserve">Wessex Frailty </w:t>
      </w:r>
      <w:r>
        <w:rPr>
          <w:rFonts w:asciiTheme="majorHAnsi" w:hAnsiTheme="majorHAnsi" w:cstheme="majorHAnsi"/>
          <w:lang w:val="en-GB"/>
        </w:rPr>
        <w:t xml:space="preserve">conference slides </w:t>
      </w:r>
      <w:hyperlink r:id="rId14" w:history="1">
        <w:r w:rsidRPr="004C1D72">
          <w:rPr>
            <w:rStyle w:val="Hyperlink"/>
            <w:rFonts w:asciiTheme="majorHAnsi" w:hAnsiTheme="majorHAnsi" w:cstheme="majorHAnsi"/>
            <w:lang w:val="en-GB"/>
          </w:rPr>
          <w:t>https://wessexahsn.org.uk/projects/303/focus-on-frailty-2019-conference-resources</w:t>
        </w:r>
      </w:hyperlink>
      <w:r w:rsidRPr="004C1D72">
        <w:rPr>
          <w:rFonts w:asciiTheme="majorHAnsi" w:hAnsiTheme="majorHAnsi" w:cstheme="majorHAnsi"/>
          <w:lang w:val="en-GB"/>
        </w:rPr>
        <w:t xml:space="preserve"> including some competencies for awareness training</w:t>
      </w:r>
    </w:p>
    <w:p w:rsidR="004C1D72" w:rsidRPr="004C1D72" w:rsidRDefault="004C1D72" w:rsidP="004C1D72">
      <w:pPr>
        <w:rPr>
          <w:rFonts w:asciiTheme="majorHAnsi" w:hAnsiTheme="majorHAnsi" w:cstheme="majorHAnsi"/>
          <w:lang w:val="en-GB"/>
        </w:rPr>
      </w:pPr>
      <w:r w:rsidRPr="004C1D72">
        <w:rPr>
          <w:rFonts w:asciiTheme="majorHAnsi" w:hAnsiTheme="majorHAnsi" w:cstheme="majorHAnsi"/>
          <w:lang w:val="en-GB"/>
        </w:rPr>
        <w:t xml:space="preserve">Nicci Gerrard talk: what can dementia teach us about love? 29 April 2019 7pm, Waterstones Bristol </w:t>
      </w:r>
      <w:hyperlink r:id="rId15" w:history="1">
        <w:r w:rsidRPr="004C1D72">
          <w:rPr>
            <w:rStyle w:val="Hyperlink"/>
            <w:rFonts w:asciiTheme="majorHAnsi" w:hAnsiTheme="majorHAnsi" w:cstheme="majorHAnsi"/>
            <w:lang w:val="en-GB"/>
          </w:rPr>
          <w:t>https://www.ideasfestival.co.uk/events/nicci-gerrard/</w:t>
        </w:r>
      </w:hyperlink>
    </w:p>
    <w:p w:rsidR="004C1D72" w:rsidRDefault="004C1D72" w:rsidP="004C1D72">
      <w:pPr>
        <w:rPr>
          <w:rFonts w:asciiTheme="majorHAnsi" w:hAnsiTheme="majorHAnsi" w:cstheme="majorHAnsi"/>
          <w:lang w:val="en-GB"/>
        </w:rPr>
      </w:pPr>
      <w:r>
        <w:rPr>
          <w:rFonts w:asciiTheme="majorHAnsi" w:hAnsiTheme="majorHAnsi" w:cstheme="majorHAnsi"/>
          <w:lang w:val="en-GB"/>
        </w:rPr>
        <w:t>REDFLAG poster and notes:</w:t>
      </w:r>
    </w:p>
    <w:tbl>
      <w:tblPr>
        <w:tblStyle w:val="TableGrid"/>
        <w:tblW w:w="0" w:type="auto"/>
        <w:tblLook w:val="04A0" w:firstRow="1" w:lastRow="0" w:firstColumn="1" w:lastColumn="0" w:noHBand="0" w:noVBand="1"/>
      </w:tblPr>
      <w:tblGrid>
        <w:gridCol w:w="534"/>
        <w:gridCol w:w="8702"/>
      </w:tblGrid>
      <w:tr w:rsidR="004C1D72" w:rsidRPr="004C1D72" w:rsidTr="004C1D72">
        <w:trPr>
          <w:trHeight w:val="20"/>
        </w:trPr>
        <w:tc>
          <w:tcPr>
            <w:tcW w:w="534" w:type="dxa"/>
          </w:tcPr>
          <w:p w:rsidR="004C1D72" w:rsidRPr="004C1D72" w:rsidRDefault="004C1D72" w:rsidP="004C1D72">
            <w:pPr>
              <w:spacing w:before="60" w:after="80"/>
              <w:rPr>
                <w:rFonts w:ascii="Arial" w:hAnsi="Arial" w:cs="Arial"/>
                <w:color w:val="465A6C" w:themeColor="text1"/>
                <w:szCs w:val="22"/>
              </w:rPr>
            </w:pPr>
            <w:r w:rsidRPr="004C1D72">
              <w:rPr>
                <w:rFonts w:ascii="Arial" w:hAnsi="Arial" w:cs="Arial"/>
                <w:b/>
                <w:color w:val="FF0000"/>
                <w:szCs w:val="22"/>
              </w:rPr>
              <w:t>R</w:t>
            </w:r>
          </w:p>
        </w:tc>
        <w:tc>
          <w:tcPr>
            <w:tcW w:w="8708" w:type="dxa"/>
          </w:tcPr>
          <w:p w:rsidR="004C1D72" w:rsidRPr="004C1D72" w:rsidRDefault="004C1D72" w:rsidP="004C1D72">
            <w:pPr>
              <w:spacing w:before="60" w:after="80"/>
              <w:rPr>
                <w:rFonts w:ascii="Arial" w:hAnsi="Arial" w:cs="Arial"/>
                <w:szCs w:val="22"/>
              </w:rPr>
            </w:pPr>
            <w:r w:rsidRPr="004C1D72">
              <w:rPr>
                <w:rFonts w:ascii="Arial" w:hAnsi="Arial" w:cs="Arial"/>
                <w:szCs w:val="22"/>
              </w:rPr>
              <w:t>resistive to help or services</w:t>
            </w:r>
          </w:p>
        </w:tc>
      </w:tr>
      <w:tr w:rsidR="004C1D72" w:rsidRPr="004C1D72" w:rsidTr="004C1D72">
        <w:trPr>
          <w:trHeight w:val="20"/>
        </w:trPr>
        <w:tc>
          <w:tcPr>
            <w:tcW w:w="534" w:type="dxa"/>
          </w:tcPr>
          <w:p w:rsidR="004C1D72" w:rsidRPr="004C1D72" w:rsidRDefault="004C1D72" w:rsidP="004C1D72">
            <w:pPr>
              <w:spacing w:before="60" w:after="80"/>
              <w:rPr>
                <w:rFonts w:ascii="Arial" w:hAnsi="Arial" w:cs="Arial"/>
                <w:color w:val="465A6C" w:themeColor="text1"/>
                <w:szCs w:val="22"/>
              </w:rPr>
            </w:pPr>
            <w:r w:rsidRPr="004C1D72">
              <w:rPr>
                <w:rFonts w:ascii="Arial" w:hAnsi="Arial" w:cs="Arial"/>
                <w:b/>
                <w:color w:val="FF0000"/>
                <w:szCs w:val="22"/>
              </w:rPr>
              <w:t>E</w:t>
            </w:r>
            <w:r w:rsidRPr="004C1D72">
              <w:rPr>
                <w:rFonts w:ascii="Arial" w:hAnsi="Arial" w:cs="Arial"/>
                <w:color w:val="465A6C" w:themeColor="text1"/>
                <w:szCs w:val="22"/>
              </w:rPr>
              <w:t xml:space="preserve"> </w:t>
            </w:r>
          </w:p>
        </w:tc>
        <w:tc>
          <w:tcPr>
            <w:tcW w:w="8708" w:type="dxa"/>
          </w:tcPr>
          <w:p w:rsidR="004C1D72" w:rsidRPr="004C1D72" w:rsidRDefault="004C1D72" w:rsidP="004C1D72">
            <w:pPr>
              <w:spacing w:before="60" w:after="80"/>
              <w:rPr>
                <w:rFonts w:ascii="Arial" w:hAnsi="Arial" w:cs="Arial"/>
                <w:szCs w:val="22"/>
              </w:rPr>
            </w:pPr>
            <w:r w:rsidRPr="004C1D72">
              <w:rPr>
                <w:rFonts w:ascii="Arial" w:hAnsi="Arial" w:cs="Arial"/>
                <w:szCs w:val="22"/>
              </w:rPr>
              <w:t>ever increasing contact with services without improved quality of life or resolution of persistent issues</w:t>
            </w:r>
          </w:p>
        </w:tc>
      </w:tr>
      <w:tr w:rsidR="004C1D72" w:rsidRPr="004C1D72" w:rsidTr="004C1D72">
        <w:trPr>
          <w:trHeight w:val="20"/>
        </w:trPr>
        <w:tc>
          <w:tcPr>
            <w:tcW w:w="534" w:type="dxa"/>
          </w:tcPr>
          <w:p w:rsidR="004C1D72" w:rsidRPr="004C1D72" w:rsidRDefault="004C1D72" w:rsidP="004C1D72">
            <w:pPr>
              <w:spacing w:before="60" w:after="80"/>
              <w:rPr>
                <w:rFonts w:ascii="Arial" w:hAnsi="Arial" w:cs="Arial"/>
                <w:b/>
                <w:color w:val="FF0000"/>
                <w:szCs w:val="22"/>
              </w:rPr>
            </w:pPr>
            <w:r w:rsidRPr="004C1D72">
              <w:rPr>
                <w:rFonts w:ascii="Arial" w:hAnsi="Arial" w:cs="Arial"/>
                <w:b/>
                <w:color w:val="FF0000"/>
                <w:szCs w:val="22"/>
              </w:rPr>
              <w:t>D</w:t>
            </w:r>
          </w:p>
        </w:tc>
        <w:tc>
          <w:tcPr>
            <w:tcW w:w="8708" w:type="dxa"/>
          </w:tcPr>
          <w:p w:rsidR="004C1D72" w:rsidRPr="004C1D72" w:rsidRDefault="004C1D72" w:rsidP="004C1D72">
            <w:pPr>
              <w:spacing w:before="60" w:after="80"/>
              <w:rPr>
                <w:rFonts w:ascii="Arial" w:hAnsi="Arial" w:cs="Arial"/>
                <w:szCs w:val="22"/>
              </w:rPr>
            </w:pPr>
            <w:r w:rsidRPr="004C1D72">
              <w:rPr>
                <w:rFonts w:ascii="Arial" w:hAnsi="Arial" w:cs="Arial"/>
                <w:szCs w:val="22"/>
              </w:rPr>
              <w:t>drug/medication change or non-compliance with medication</w:t>
            </w:r>
          </w:p>
        </w:tc>
      </w:tr>
      <w:tr w:rsidR="004C1D72" w:rsidRPr="004C1D72" w:rsidTr="004C1D72">
        <w:trPr>
          <w:trHeight w:val="20"/>
        </w:trPr>
        <w:tc>
          <w:tcPr>
            <w:tcW w:w="534" w:type="dxa"/>
          </w:tcPr>
          <w:p w:rsidR="004C1D72" w:rsidRPr="004C1D72" w:rsidRDefault="004C1D72" w:rsidP="004C1D72">
            <w:pPr>
              <w:spacing w:before="60" w:after="80"/>
              <w:rPr>
                <w:rFonts w:ascii="Arial" w:hAnsi="Arial" w:cs="Arial"/>
                <w:b/>
                <w:color w:val="FF0000"/>
                <w:szCs w:val="22"/>
              </w:rPr>
            </w:pPr>
            <w:r w:rsidRPr="004C1D72">
              <w:rPr>
                <w:rFonts w:ascii="Arial" w:hAnsi="Arial" w:cs="Arial"/>
                <w:b/>
                <w:color w:val="FF0000"/>
                <w:szCs w:val="22"/>
              </w:rPr>
              <w:t>F</w:t>
            </w:r>
          </w:p>
        </w:tc>
        <w:tc>
          <w:tcPr>
            <w:tcW w:w="8708" w:type="dxa"/>
          </w:tcPr>
          <w:p w:rsidR="004C1D72" w:rsidRPr="004C1D72" w:rsidRDefault="004C1D72" w:rsidP="004C1D72">
            <w:pPr>
              <w:spacing w:before="60" w:after="80"/>
              <w:rPr>
                <w:rFonts w:ascii="Arial" w:hAnsi="Arial" w:cs="Arial"/>
                <w:szCs w:val="22"/>
              </w:rPr>
            </w:pPr>
            <w:r w:rsidRPr="004C1D72">
              <w:rPr>
                <w:rFonts w:ascii="Arial" w:hAnsi="Arial" w:cs="Arial"/>
                <w:szCs w:val="22"/>
              </w:rPr>
              <w:t>frailty score high(6-7) or increasing</w:t>
            </w:r>
          </w:p>
          <w:p w:rsidR="004C1D72" w:rsidRPr="004C1D72" w:rsidRDefault="004C1D72" w:rsidP="004C1D72">
            <w:pPr>
              <w:spacing w:before="60" w:after="80"/>
              <w:rPr>
                <w:rFonts w:ascii="Arial" w:hAnsi="Arial" w:cs="Arial"/>
                <w:szCs w:val="22"/>
              </w:rPr>
            </w:pPr>
            <w:r w:rsidRPr="004C1D72">
              <w:rPr>
                <w:rFonts w:ascii="Arial" w:hAnsi="Arial" w:cs="Arial"/>
                <w:szCs w:val="22"/>
              </w:rPr>
              <w:t>falls</w:t>
            </w:r>
          </w:p>
        </w:tc>
      </w:tr>
      <w:tr w:rsidR="004C1D72" w:rsidRPr="004C1D72" w:rsidTr="004C1D72">
        <w:trPr>
          <w:trHeight w:val="20"/>
        </w:trPr>
        <w:tc>
          <w:tcPr>
            <w:tcW w:w="534" w:type="dxa"/>
          </w:tcPr>
          <w:p w:rsidR="004C1D72" w:rsidRPr="004C1D72" w:rsidRDefault="004C1D72" w:rsidP="004C1D72">
            <w:pPr>
              <w:spacing w:before="60" w:after="80"/>
              <w:rPr>
                <w:rFonts w:ascii="Arial" w:hAnsi="Arial" w:cs="Arial"/>
                <w:b/>
                <w:color w:val="FF0000"/>
                <w:szCs w:val="22"/>
              </w:rPr>
            </w:pPr>
            <w:r w:rsidRPr="004C1D72">
              <w:rPr>
                <w:rFonts w:ascii="Arial" w:hAnsi="Arial" w:cs="Arial"/>
                <w:b/>
                <w:color w:val="FF0000"/>
                <w:szCs w:val="22"/>
              </w:rPr>
              <w:t>L</w:t>
            </w:r>
          </w:p>
        </w:tc>
        <w:tc>
          <w:tcPr>
            <w:tcW w:w="8708" w:type="dxa"/>
          </w:tcPr>
          <w:p w:rsidR="004C1D72" w:rsidRPr="004C1D72" w:rsidRDefault="004C1D72" w:rsidP="004C1D72">
            <w:pPr>
              <w:spacing w:before="60" w:after="80"/>
              <w:rPr>
                <w:rFonts w:ascii="Arial" w:hAnsi="Arial" w:cs="Arial"/>
                <w:szCs w:val="22"/>
              </w:rPr>
            </w:pPr>
            <w:r w:rsidRPr="004C1D72">
              <w:rPr>
                <w:rFonts w:ascii="Arial" w:hAnsi="Arial" w:cs="Arial"/>
                <w:szCs w:val="22"/>
              </w:rPr>
              <w:t>lives alone, or couple supporting each</w:t>
            </w:r>
          </w:p>
        </w:tc>
      </w:tr>
      <w:tr w:rsidR="004C1D72" w:rsidRPr="004C1D72" w:rsidTr="004C1D72">
        <w:trPr>
          <w:trHeight w:val="20"/>
        </w:trPr>
        <w:tc>
          <w:tcPr>
            <w:tcW w:w="534" w:type="dxa"/>
          </w:tcPr>
          <w:p w:rsidR="004C1D72" w:rsidRPr="004C1D72" w:rsidRDefault="004C1D72" w:rsidP="004C1D72">
            <w:pPr>
              <w:spacing w:before="60" w:after="80"/>
              <w:rPr>
                <w:rFonts w:ascii="Arial" w:hAnsi="Arial" w:cs="Arial"/>
                <w:b/>
                <w:color w:val="FF0000"/>
                <w:szCs w:val="22"/>
              </w:rPr>
            </w:pPr>
            <w:r w:rsidRPr="004C1D72">
              <w:rPr>
                <w:rFonts w:ascii="Arial" w:hAnsi="Arial" w:cs="Arial"/>
                <w:b/>
                <w:color w:val="FF0000"/>
                <w:szCs w:val="22"/>
              </w:rPr>
              <w:t>A</w:t>
            </w:r>
          </w:p>
        </w:tc>
        <w:tc>
          <w:tcPr>
            <w:tcW w:w="8708" w:type="dxa"/>
          </w:tcPr>
          <w:p w:rsidR="004C1D72" w:rsidRPr="004C1D72" w:rsidRDefault="004C1D72" w:rsidP="004C1D72">
            <w:pPr>
              <w:spacing w:before="60" w:after="80"/>
              <w:rPr>
                <w:rFonts w:ascii="Arial" w:hAnsi="Arial" w:cs="Arial"/>
                <w:szCs w:val="22"/>
              </w:rPr>
            </w:pPr>
            <w:r w:rsidRPr="004C1D72">
              <w:rPr>
                <w:rFonts w:ascii="Arial" w:hAnsi="Arial" w:cs="Arial"/>
                <w:szCs w:val="22"/>
              </w:rPr>
              <w:t>assessment of mental capacity required</w:t>
            </w:r>
          </w:p>
        </w:tc>
      </w:tr>
      <w:tr w:rsidR="004C1D72" w:rsidRPr="004C1D72" w:rsidTr="004C1D72">
        <w:trPr>
          <w:trHeight w:val="20"/>
        </w:trPr>
        <w:tc>
          <w:tcPr>
            <w:tcW w:w="534" w:type="dxa"/>
          </w:tcPr>
          <w:p w:rsidR="004C1D72" w:rsidRPr="004C1D72" w:rsidRDefault="004C1D72" w:rsidP="004C1D72">
            <w:pPr>
              <w:spacing w:before="60" w:after="80"/>
              <w:rPr>
                <w:rFonts w:ascii="Arial" w:hAnsi="Arial" w:cs="Arial"/>
                <w:b/>
                <w:color w:val="FF0000"/>
                <w:szCs w:val="22"/>
              </w:rPr>
            </w:pPr>
            <w:r w:rsidRPr="004C1D72">
              <w:rPr>
                <w:rFonts w:ascii="Arial" w:hAnsi="Arial" w:cs="Arial"/>
                <w:b/>
                <w:color w:val="FF0000"/>
                <w:szCs w:val="22"/>
              </w:rPr>
              <w:t>G</w:t>
            </w:r>
          </w:p>
        </w:tc>
        <w:tc>
          <w:tcPr>
            <w:tcW w:w="8708" w:type="dxa"/>
          </w:tcPr>
          <w:p w:rsidR="004C1D72" w:rsidRPr="004C1D72" w:rsidRDefault="004C1D72" w:rsidP="004C1D72">
            <w:pPr>
              <w:spacing w:before="60" w:after="80"/>
              <w:rPr>
                <w:rFonts w:ascii="Arial" w:hAnsi="Arial" w:cs="Arial"/>
                <w:szCs w:val="22"/>
              </w:rPr>
            </w:pPr>
            <w:r w:rsidRPr="004C1D72">
              <w:rPr>
                <w:rFonts w:ascii="Arial" w:hAnsi="Arial" w:cs="Arial"/>
                <w:szCs w:val="22"/>
              </w:rPr>
              <w:t>gaps in Activities of Daily Living (ADL) impacting on health &amp; wellbeing</w:t>
            </w:r>
          </w:p>
        </w:tc>
      </w:tr>
    </w:tbl>
    <w:p w:rsidR="004C1D72" w:rsidRDefault="004C1D72" w:rsidP="004C1D72">
      <w:pPr>
        <w:rPr>
          <w:rFonts w:ascii="Arial" w:hAnsi="Arial" w:cs="Arial"/>
          <w:sz w:val="24"/>
        </w:rPr>
      </w:pPr>
    </w:p>
    <w:p w:rsidR="004C1D72" w:rsidRDefault="004C1D72" w:rsidP="004C1D72">
      <w:pPr>
        <w:rPr>
          <w:rFonts w:ascii="Arial" w:hAnsi="Arial" w:cs="Arial"/>
          <w:sz w:val="24"/>
        </w:rPr>
      </w:pPr>
      <w:r>
        <w:rPr>
          <w:rFonts w:ascii="Arial" w:hAnsi="Arial" w:cs="Arial"/>
          <w:sz w:val="24"/>
        </w:rPr>
        <w:t>Dementia training available on Future Learn</w:t>
      </w:r>
    </w:p>
    <w:p w:rsidR="004C1D72" w:rsidRPr="004C1D72" w:rsidRDefault="004C1D72" w:rsidP="004C1D72">
      <w:pPr>
        <w:pStyle w:val="ListParagraph"/>
        <w:numPr>
          <w:ilvl w:val="0"/>
          <w:numId w:val="20"/>
        </w:numPr>
        <w:rPr>
          <w:rFonts w:asciiTheme="majorHAnsi" w:hAnsiTheme="majorHAnsi" w:cstheme="majorHAnsi"/>
          <w:sz w:val="20"/>
        </w:rPr>
      </w:pPr>
      <w:r w:rsidRPr="004C1D72">
        <w:rPr>
          <w:noProof/>
          <w:lang w:eastAsia="en-GB"/>
        </w:rPr>
        <w:lastRenderedPageBreak/>
        <w:drawing>
          <wp:inline distT="0" distB="0" distL="0" distR="0" wp14:anchorId="30197E79" wp14:editId="5D15B056">
            <wp:extent cx="8890" cy="8890"/>
            <wp:effectExtent l="0" t="0" r="0" b="0"/>
            <wp:docPr id="25" name="Picture 25" descr="http://mail.futurelearn.com/tr/p.gif?uid=7157520308&amp;mid=651441740&amp;msd=1552654846114&amp;s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il.futurelearn.com/tr/p.gif?uid=7157520308&amp;mid=651441740&amp;msd=1552654846114&amp;st=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hyperlink r:id="rId17" w:history="1">
        <w:r w:rsidRPr="004C1D72">
          <w:rPr>
            <w:rStyle w:val="Hyperlink"/>
            <w:rFonts w:asciiTheme="majorHAnsi" w:hAnsiTheme="majorHAnsi" w:cstheme="majorHAnsi"/>
            <w:sz w:val="20"/>
          </w:rPr>
          <w:t xml:space="preserve">The Many Faces of Dementia </w:t>
        </w:r>
      </w:hyperlink>
      <w:r w:rsidRPr="004C1D72">
        <w:rPr>
          <w:rFonts w:asciiTheme="majorHAnsi" w:hAnsiTheme="majorHAnsi" w:cstheme="majorHAnsi"/>
          <w:sz w:val="20"/>
        </w:rPr>
        <w:t xml:space="preserve"> </w:t>
      </w:r>
      <w:hyperlink r:id="rId18" w:history="1">
        <w:r w:rsidRPr="004C1D72">
          <w:rPr>
            <w:rStyle w:val="Hyperlink"/>
            <w:rFonts w:asciiTheme="majorHAnsi" w:hAnsiTheme="majorHAnsi" w:cstheme="majorHAnsi"/>
            <w:sz w:val="20"/>
          </w:rPr>
          <w:t xml:space="preserve">UCL (University College London) </w:t>
        </w:r>
      </w:hyperlink>
      <w:r w:rsidRPr="004C1D72">
        <w:rPr>
          <w:rFonts w:asciiTheme="majorHAnsi" w:hAnsiTheme="majorHAnsi" w:cstheme="majorHAnsi"/>
          <w:sz w:val="20"/>
        </w:rPr>
        <w:t xml:space="preserve"> </w:t>
      </w:r>
      <w:hyperlink r:id="rId19" w:history="1">
        <w:r w:rsidRPr="004C1D72">
          <w:rPr>
            <w:rStyle w:val="Hyperlink"/>
            <w:rFonts w:asciiTheme="majorHAnsi" w:hAnsiTheme="majorHAnsi" w:cstheme="majorHAnsi"/>
            <w:sz w:val="20"/>
          </w:rPr>
          <w:t>Gain a unique insight into dementia through the stories, symptoms and science behind four less common diagnoses.</w:t>
        </w:r>
      </w:hyperlink>
      <w:r w:rsidRPr="004C1D72">
        <w:rPr>
          <w:rFonts w:asciiTheme="majorHAnsi" w:hAnsiTheme="majorHAnsi" w:cstheme="majorHAnsi"/>
          <w:sz w:val="20"/>
        </w:rPr>
        <w:t xml:space="preserve"> </w:t>
      </w:r>
      <w:hyperlink r:id="rId20" w:history="1">
        <w:r w:rsidRPr="004C1D72">
          <w:rPr>
            <w:rStyle w:val="Hyperlink"/>
            <w:rFonts w:asciiTheme="majorHAnsi" w:hAnsiTheme="majorHAnsi" w:cstheme="majorHAnsi"/>
            <w:sz w:val="20"/>
          </w:rPr>
          <w:t>Learn more</w:t>
        </w:r>
      </w:hyperlink>
      <w:r w:rsidRPr="004C1D72">
        <w:rPr>
          <w:rFonts w:asciiTheme="majorHAnsi" w:hAnsiTheme="majorHAnsi" w:cstheme="majorHAnsi"/>
          <w:sz w:val="20"/>
        </w:rPr>
        <w:t xml:space="preserve"> </w:t>
      </w:r>
    </w:p>
    <w:p w:rsidR="004C1D72" w:rsidRPr="004C1D72" w:rsidRDefault="00752DD2" w:rsidP="004C1D72">
      <w:pPr>
        <w:pStyle w:val="ListParagraph"/>
        <w:numPr>
          <w:ilvl w:val="0"/>
          <w:numId w:val="20"/>
        </w:numPr>
        <w:rPr>
          <w:rFonts w:asciiTheme="majorHAnsi" w:hAnsiTheme="majorHAnsi" w:cstheme="majorHAnsi"/>
          <w:sz w:val="20"/>
        </w:rPr>
      </w:pPr>
      <w:hyperlink r:id="rId21" w:history="1">
        <w:r w:rsidR="004C1D72" w:rsidRPr="004C1D72">
          <w:rPr>
            <w:rStyle w:val="Hyperlink"/>
            <w:rFonts w:asciiTheme="majorHAnsi" w:hAnsiTheme="majorHAnsi" w:cstheme="majorHAnsi"/>
            <w:sz w:val="20"/>
          </w:rPr>
          <w:t xml:space="preserve">End-of-Life Care for People with Dementia </w:t>
        </w:r>
      </w:hyperlink>
      <w:hyperlink r:id="rId22" w:history="1">
        <w:r w:rsidR="004C1D72" w:rsidRPr="004C1D72">
          <w:rPr>
            <w:rStyle w:val="Hyperlink"/>
            <w:rFonts w:asciiTheme="majorHAnsi" w:hAnsiTheme="majorHAnsi" w:cstheme="majorHAnsi"/>
            <w:sz w:val="20"/>
          </w:rPr>
          <w:t xml:space="preserve">UEA (University of East Anglia) </w:t>
        </w:r>
      </w:hyperlink>
      <w:r w:rsidR="004C1D72" w:rsidRPr="004C1D72">
        <w:rPr>
          <w:rFonts w:asciiTheme="majorHAnsi" w:hAnsiTheme="majorHAnsi" w:cstheme="majorHAnsi"/>
          <w:sz w:val="20"/>
        </w:rPr>
        <w:t xml:space="preserve"> </w:t>
      </w:r>
      <w:hyperlink r:id="rId23" w:history="1">
        <w:r w:rsidR="004C1D72" w:rsidRPr="004C1D72">
          <w:rPr>
            <w:rStyle w:val="Hyperlink"/>
            <w:rFonts w:asciiTheme="majorHAnsi" w:hAnsiTheme="majorHAnsi" w:cstheme="majorHAnsi"/>
            <w:sz w:val="20"/>
          </w:rPr>
          <w:t>Learn about team structure, how teams work, performance management and diversity in the workplace.</w:t>
        </w:r>
      </w:hyperlink>
      <w:r w:rsidR="004C1D72" w:rsidRPr="004C1D72">
        <w:rPr>
          <w:rFonts w:asciiTheme="majorHAnsi" w:hAnsiTheme="majorHAnsi" w:cstheme="majorHAnsi"/>
          <w:sz w:val="20"/>
        </w:rPr>
        <w:t xml:space="preserve"> </w:t>
      </w:r>
      <w:hyperlink r:id="rId24" w:history="1">
        <w:r w:rsidR="004C1D72" w:rsidRPr="004C1D72">
          <w:rPr>
            <w:rStyle w:val="Hyperlink"/>
            <w:rFonts w:asciiTheme="majorHAnsi" w:hAnsiTheme="majorHAnsi" w:cstheme="majorHAnsi"/>
            <w:sz w:val="20"/>
          </w:rPr>
          <w:t>Learn more</w:t>
        </w:r>
      </w:hyperlink>
      <w:r w:rsidR="004C1D72" w:rsidRPr="004C1D72">
        <w:rPr>
          <w:rFonts w:asciiTheme="majorHAnsi" w:hAnsiTheme="majorHAnsi" w:cstheme="majorHAnsi"/>
          <w:sz w:val="20"/>
        </w:rPr>
        <w:t xml:space="preserve"> </w:t>
      </w:r>
    </w:p>
    <w:p w:rsidR="004C1D72" w:rsidRPr="004C1D72" w:rsidRDefault="00752DD2" w:rsidP="004C1D72">
      <w:pPr>
        <w:pStyle w:val="ListParagraph"/>
        <w:numPr>
          <w:ilvl w:val="0"/>
          <w:numId w:val="20"/>
        </w:numPr>
        <w:rPr>
          <w:rFonts w:asciiTheme="majorHAnsi" w:hAnsiTheme="majorHAnsi" w:cstheme="majorHAnsi"/>
          <w:sz w:val="20"/>
        </w:rPr>
      </w:pPr>
      <w:hyperlink r:id="rId25" w:history="1">
        <w:r w:rsidR="004C1D72" w:rsidRPr="004C1D72">
          <w:rPr>
            <w:rStyle w:val="Hyperlink"/>
            <w:rFonts w:asciiTheme="majorHAnsi" w:hAnsiTheme="majorHAnsi" w:cstheme="majorHAnsi"/>
            <w:sz w:val="20"/>
          </w:rPr>
          <w:t xml:space="preserve">Creating Moments of Joy for People with Alzheimer’s </w:t>
        </w:r>
      </w:hyperlink>
      <w:hyperlink r:id="rId26" w:history="1">
        <w:r w:rsidR="004C1D72" w:rsidRPr="004C1D72">
          <w:rPr>
            <w:rStyle w:val="Hyperlink"/>
            <w:rFonts w:asciiTheme="majorHAnsi" w:hAnsiTheme="majorHAnsi" w:cstheme="majorHAnsi"/>
            <w:sz w:val="20"/>
          </w:rPr>
          <w:t xml:space="preserve">Purdue University </w:t>
        </w:r>
      </w:hyperlink>
      <w:r w:rsidR="004C1D72" w:rsidRPr="004C1D72">
        <w:rPr>
          <w:rFonts w:asciiTheme="majorHAnsi" w:hAnsiTheme="majorHAnsi" w:cstheme="majorHAnsi"/>
          <w:sz w:val="20"/>
        </w:rPr>
        <w:t xml:space="preserve"> </w:t>
      </w:r>
      <w:hyperlink r:id="rId27" w:history="1">
        <w:r w:rsidR="004C1D72" w:rsidRPr="004C1D72">
          <w:rPr>
            <w:rStyle w:val="Hyperlink"/>
            <w:rFonts w:asciiTheme="majorHAnsi" w:hAnsiTheme="majorHAnsi" w:cstheme="majorHAnsi"/>
            <w:sz w:val="20"/>
          </w:rPr>
          <w:t xml:space="preserve">Learn how to help people with Alzheimer's disease live as well as possible with practical tips and advice. </w:t>
        </w:r>
      </w:hyperlink>
      <w:hyperlink r:id="rId28" w:history="1">
        <w:r w:rsidR="004C1D72" w:rsidRPr="004C1D72">
          <w:rPr>
            <w:rStyle w:val="Hyperlink"/>
            <w:rFonts w:asciiTheme="majorHAnsi" w:hAnsiTheme="majorHAnsi" w:cstheme="majorHAnsi"/>
            <w:sz w:val="20"/>
          </w:rPr>
          <w:t>Learn more</w:t>
        </w:r>
      </w:hyperlink>
      <w:r w:rsidR="004C1D72" w:rsidRPr="004C1D72">
        <w:rPr>
          <w:rFonts w:asciiTheme="majorHAnsi" w:hAnsiTheme="majorHAnsi" w:cstheme="majorHAnsi"/>
          <w:sz w:val="20"/>
        </w:rPr>
        <w:t xml:space="preserve"> </w:t>
      </w:r>
    </w:p>
    <w:p w:rsidR="004C1D72" w:rsidRPr="004C1D72" w:rsidRDefault="00752DD2" w:rsidP="004C1D72">
      <w:pPr>
        <w:pStyle w:val="ListParagraph"/>
        <w:numPr>
          <w:ilvl w:val="0"/>
          <w:numId w:val="20"/>
        </w:numPr>
        <w:rPr>
          <w:rFonts w:asciiTheme="majorHAnsi" w:hAnsiTheme="majorHAnsi" w:cstheme="majorHAnsi"/>
          <w:sz w:val="20"/>
        </w:rPr>
      </w:pPr>
      <w:hyperlink r:id="rId29" w:history="1">
        <w:r w:rsidR="004C1D72" w:rsidRPr="004C1D72">
          <w:rPr>
            <w:rStyle w:val="Hyperlink"/>
            <w:rFonts w:asciiTheme="majorHAnsi" w:hAnsiTheme="majorHAnsi" w:cstheme="majorHAnsi"/>
            <w:sz w:val="20"/>
          </w:rPr>
          <w:t xml:space="preserve">Dementia Care: Staying Connected and Living Well </w:t>
        </w:r>
      </w:hyperlink>
      <w:hyperlink r:id="rId30" w:history="1">
        <w:r w:rsidR="004C1D72" w:rsidRPr="004C1D72">
          <w:rPr>
            <w:rStyle w:val="Hyperlink"/>
            <w:rFonts w:asciiTheme="majorHAnsi" w:hAnsiTheme="majorHAnsi" w:cstheme="majorHAnsi"/>
            <w:sz w:val="20"/>
          </w:rPr>
          <w:t>Newcastle University</w:t>
        </w:r>
      </w:hyperlink>
      <w:r w:rsidR="004C1D72" w:rsidRPr="004C1D72">
        <w:rPr>
          <w:rFonts w:asciiTheme="majorHAnsi" w:hAnsiTheme="majorHAnsi" w:cstheme="majorHAnsi"/>
          <w:sz w:val="20"/>
        </w:rPr>
        <w:t xml:space="preserve"> </w:t>
      </w:r>
      <w:hyperlink r:id="rId31" w:history="1">
        <w:r w:rsidR="004C1D72" w:rsidRPr="004C1D72">
          <w:rPr>
            <w:rStyle w:val="Hyperlink"/>
            <w:rFonts w:asciiTheme="majorHAnsi" w:hAnsiTheme="majorHAnsi" w:cstheme="majorHAnsi"/>
            <w:sz w:val="20"/>
          </w:rPr>
          <w:t>A course for carers, to help you stay connected to loved ones, manage stress at home and defuse difficult situations.</w:t>
        </w:r>
      </w:hyperlink>
      <w:r w:rsidR="004C1D72" w:rsidRPr="004C1D72">
        <w:rPr>
          <w:rFonts w:asciiTheme="majorHAnsi" w:hAnsiTheme="majorHAnsi" w:cstheme="majorHAnsi"/>
          <w:sz w:val="20"/>
        </w:rPr>
        <w:t xml:space="preserve"> </w:t>
      </w:r>
      <w:hyperlink r:id="rId32" w:history="1">
        <w:r w:rsidR="004C1D72" w:rsidRPr="004C1D72">
          <w:rPr>
            <w:rStyle w:val="Hyperlink"/>
            <w:rFonts w:asciiTheme="majorHAnsi" w:hAnsiTheme="majorHAnsi" w:cstheme="majorHAnsi"/>
            <w:sz w:val="20"/>
          </w:rPr>
          <w:t>Learn more</w:t>
        </w:r>
      </w:hyperlink>
      <w:r w:rsidR="004C1D72" w:rsidRPr="004C1D72">
        <w:rPr>
          <w:rFonts w:asciiTheme="majorHAnsi" w:hAnsiTheme="majorHAnsi" w:cstheme="majorHAnsi"/>
          <w:sz w:val="20"/>
        </w:rPr>
        <w:t xml:space="preserve"> </w:t>
      </w:r>
    </w:p>
    <w:p w:rsidR="004C1D72" w:rsidRPr="004C1D72" w:rsidRDefault="00752DD2" w:rsidP="004C1D72">
      <w:pPr>
        <w:pStyle w:val="ListParagraph"/>
        <w:numPr>
          <w:ilvl w:val="0"/>
          <w:numId w:val="20"/>
        </w:numPr>
        <w:rPr>
          <w:rFonts w:asciiTheme="majorHAnsi" w:hAnsiTheme="majorHAnsi" w:cstheme="majorHAnsi"/>
          <w:sz w:val="20"/>
        </w:rPr>
      </w:pPr>
      <w:hyperlink r:id="rId33" w:history="1">
        <w:r w:rsidR="004C1D72" w:rsidRPr="004C1D72">
          <w:rPr>
            <w:rStyle w:val="Hyperlink"/>
            <w:rFonts w:asciiTheme="majorHAnsi" w:hAnsiTheme="majorHAnsi" w:cstheme="majorHAnsi"/>
            <w:sz w:val="20"/>
          </w:rPr>
          <w:t>Dementia Care: Living Well as Dementia Progresses</w:t>
        </w:r>
      </w:hyperlink>
      <w:r w:rsidR="004C1D72" w:rsidRPr="004C1D72">
        <w:rPr>
          <w:rFonts w:asciiTheme="majorHAnsi" w:hAnsiTheme="majorHAnsi" w:cstheme="majorHAnsi"/>
          <w:sz w:val="20"/>
        </w:rPr>
        <w:t xml:space="preserve"> </w:t>
      </w:r>
      <w:hyperlink r:id="rId34" w:history="1">
        <w:r w:rsidR="004C1D72" w:rsidRPr="004C1D72">
          <w:rPr>
            <w:rStyle w:val="Hyperlink"/>
            <w:rFonts w:asciiTheme="majorHAnsi" w:hAnsiTheme="majorHAnsi" w:cstheme="majorHAnsi"/>
            <w:sz w:val="20"/>
          </w:rPr>
          <w:t>Newcastle University</w:t>
        </w:r>
      </w:hyperlink>
      <w:r w:rsidR="004C1D72" w:rsidRPr="004C1D72">
        <w:rPr>
          <w:rFonts w:asciiTheme="majorHAnsi" w:hAnsiTheme="majorHAnsi" w:cstheme="majorHAnsi"/>
          <w:sz w:val="20"/>
        </w:rPr>
        <w:t xml:space="preserve"> </w:t>
      </w:r>
      <w:hyperlink r:id="rId35" w:history="1">
        <w:r w:rsidR="004C1D72" w:rsidRPr="004C1D72">
          <w:rPr>
            <w:rStyle w:val="Hyperlink"/>
            <w:rFonts w:asciiTheme="majorHAnsi" w:hAnsiTheme="majorHAnsi" w:cstheme="majorHAnsi"/>
            <w:sz w:val="20"/>
          </w:rPr>
          <w:t xml:space="preserve">Be prepared for the future - learn to understand dementia as it progresses and how to seek support. </w:t>
        </w:r>
      </w:hyperlink>
      <w:r w:rsidR="004C1D72" w:rsidRPr="004C1D72">
        <w:rPr>
          <w:rFonts w:asciiTheme="majorHAnsi" w:hAnsiTheme="majorHAnsi" w:cstheme="majorHAnsi"/>
          <w:sz w:val="20"/>
        </w:rPr>
        <w:t xml:space="preserve"> </w:t>
      </w:r>
      <w:hyperlink r:id="rId36" w:history="1">
        <w:r w:rsidR="004C1D72" w:rsidRPr="004C1D72">
          <w:rPr>
            <w:rStyle w:val="Hyperlink"/>
            <w:rFonts w:asciiTheme="majorHAnsi" w:hAnsiTheme="majorHAnsi" w:cstheme="majorHAnsi"/>
            <w:sz w:val="20"/>
          </w:rPr>
          <w:t>Learn more</w:t>
        </w:r>
      </w:hyperlink>
      <w:r w:rsidR="004C1D72" w:rsidRPr="004C1D72">
        <w:rPr>
          <w:rFonts w:asciiTheme="majorHAnsi" w:hAnsiTheme="majorHAnsi" w:cstheme="majorHAnsi"/>
          <w:sz w:val="20"/>
        </w:rPr>
        <w:t xml:space="preserve"> </w:t>
      </w:r>
    </w:p>
    <w:p w:rsidR="004C1D72" w:rsidRPr="004C1D72" w:rsidRDefault="00752DD2" w:rsidP="004C1D72">
      <w:pPr>
        <w:pStyle w:val="ListParagraph"/>
        <w:numPr>
          <w:ilvl w:val="0"/>
          <w:numId w:val="20"/>
        </w:numPr>
        <w:rPr>
          <w:rFonts w:asciiTheme="majorHAnsi" w:hAnsiTheme="majorHAnsi" w:cstheme="majorHAnsi"/>
          <w:sz w:val="20"/>
        </w:rPr>
      </w:pPr>
      <w:hyperlink r:id="rId37" w:history="1">
        <w:r w:rsidR="004C1D72" w:rsidRPr="004C1D72">
          <w:rPr>
            <w:rStyle w:val="Hyperlink"/>
            <w:rFonts w:asciiTheme="majorHAnsi" w:hAnsiTheme="majorHAnsi" w:cstheme="majorHAnsi"/>
            <w:sz w:val="20"/>
          </w:rPr>
          <w:t xml:space="preserve">Dementia and the Arts: Sharing Practice, Developing Understanding and Enhancing Lives </w:t>
        </w:r>
      </w:hyperlink>
      <w:hyperlink r:id="rId38" w:history="1">
        <w:r w:rsidR="004C1D72" w:rsidRPr="004C1D72">
          <w:rPr>
            <w:rStyle w:val="Hyperlink"/>
            <w:rFonts w:asciiTheme="majorHAnsi" w:hAnsiTheme="majorHAnsi" w:cstheme="majorHAnsi"/>
            <w:sz w:val="20"/>
          </w:rPr>
          <w:t xml:space="preserve">UCL (University College London) </w:t>
        </w:r>
      </w:hyperlink>
      <w:hyperlink r:id="rId39" w:history="1">
        <w:r w:rsidR="004C1D72" w:rsidRPr="004C1D72">
          <w:rPr>
            <w:rStyle w:val="Hyperlink"/>
            <w:rFonts w:asciiTheme="majorHAnsi" w:hAnsiTheme="majorHAnsi" w:cstheme="majorHAnsi"/>
            <w:sz w:val="20"/>
          </w:rPr>
          <w:t xml:space="preserve">Explore, challenge and shape your perceptions of dementia through science and the creative arts </w:t>
        </w:r>
      </w:hyperlink>
      <w:hyperlink r:id="rId40" w:history="1">
        <w:r w:rsidR="004C1D72" w:rsidRPr="004C1D72">
          <w:rPr>
            <w:rStyle w:val="Hyperlink"/>
            <w:rFonts w:asciiTheme="majorHAnsi" w:hAnsiTheme="majorHAnsi" w:cstheme="majorHAnsi"/>
            <w:sz w:val="20"/>
          </w:rPr>
          <w:t>Learn more</w:t>
        </w:r>
      </w:hyperlink>
      <w:r w:rsidR="004C1D72" w:rsidRPr="004C1D72">
        <w:rPr>
          <w:rFonts w:asciiTheme="majorHAnsi" w:hAnsiTheme="majorHAnsi" w:cstheme="majorHAnsi"/>
          <w:sz w:val="20"/>
        </w:rPr>
        <w:t xml:space="preserve"> </w:t>
      </w:r>
    </w:p>
    <w:bookmarkEnd w:id="1"/>
    <w:p w:rsidR="000F004F" w:rsidRPr="000F004F" w:rsidRDefault="000F004F" w:rsidP="00451275">
      <w:pPr>
        <w:keepNext/>
        <w:keepLines/>
        <w:spacing w:before="200" w:after="240"/>
        <w:outlineLvl w:val="1"/>
        <w:rPr>
          <w:rFonts w:ascii="Arial" w:eastAsia="Times New Roman" w:hAnsi="Arial" w:cs="Arial"/>
          <w:b/>
          <w:bCs/>
          <w:color w:val="013F84"/>
          <w:sz w:val="26"/>
          <w:szCs w:val="26"/>
          <w:lang w:val="en-GB"/>
        </w:rPr>
      </w:pPr>
      <w:r w:rsidRPr="000F004F">
        <w:rPr>
          <w:rFonts w:ascii="Arial" w:eastAsia="Times New Roman" w:hAnsi="Arial" w:cs="Arial"/>
          <w:b/>
          <w:bCs/>
          <w:color w:val="013F84"/>
          <w:sz w:val="26"/>
          <w:szCs w:val="26"/>
          <w:lang w:val="en-GB"/>
        </w:rPr>
        <w:t>5</w:t>
      </w:r>
      <w:r w:rsidRPr="000F004F">
        <w:rPr>
          <w:rFonts w:ascii="Arial" w:eastAsia="Times New Roman" w:hAnsi="Arial" w:cs="Arial"/>
          <w:b/>
          <w:bCs/>
          <w:color w:val="013F84"/>
          <w:sz w:val="26"/>
          <w:szCs w:val="26"/>
          <w:lang w:val="en-GB"/>
        </w:rPr>
        <w:tab/>
        <w:t>Outcomes and next steps</w:t>
      </w:r>
    </w:p>
    <w:p w:rsidR="004A167E" w:rsidRPr="004A167E" w:rsidRDefault="004A167E" w:rsidP="00451275">
      <w:pPr>
        <w:pStyle w:val="ListParagraph"/>
        <w:numPr>
          <w:ilvl w:val="0"/>
          <w:numId w:val="15"/>
        </w:numPr>
        <w:spacing w:line="240" w:lineRule="auto"/>
        <w:rPr>
          <w:rFonts w:ascii="Arial" w:eastAsia="Arial" w:hAnsi="Arial" w:cs="Times New Roman"/>
          <w:b/>
        </w:rPr>
      </w:pPr>
      <w:r w:rsidRPr="004A167E">
        <w:rPr>
          <w:rFonts w:ascii="Arial" w:eastAsia="Arial" w:hAnsi="Arial" w:cs="Times New Roman"/>
          <w:b/>
        </w:rPr>
        <w:t>All</w:t>
      </w:r>
      <w:r>
        <w:rPr>
          <w:rFonts w:ascii="Arial" w:eastAsia="Arial" w:hAnsi="Arial" w:cs="Times New Roman"/>
        </w:rPr>
        <w:t xml:space="preserve"> to sign up </w:t>
      </w:r>
      <w:r w:rsidR="00EE4039">
        <w:rPr>
          <w:rFonts w:ascii="Arial" w:eastAsia="Arial" w:hAnsi="Arial" w:cs="Times New Roman"/>
        </w:rPr>
        <w:t xml:space="preserve">for the frailty hive on HYVR </w:t>
      </w:r>
      <w:hyperlink r:id="rId41" w:history="1">
        <w:r w:rsidR="00EE4039" w:rsidRPr="00BB3897">
          <w:rPr>
            <w:rStyle w:val="Hyperlink"/>
            <w:rFonts w:ascii="Arial" w:eastAsia="Arial" w:hAnsi="Arial" w:cs="Times New Roman"/>
          </w:rPr>
          <w:t>https://www.hyvr.co.uk/</w:t>
        </w:r>
      </w:hyperlink>
      <w:r w:rsidR="00EE4039">
        <w:rPr>
          <w:rFonts w:ascii="Arial" w:eastAsia="Arial" w:hAnsi="Arial" w:cs="Times New Roman"/>
        </w:rPr>
        <w:t xml:space="preserve"> </w:t>
      </w:r>
    </w:p>
    <w:p w:rsidR="000F004F" w:rsidRPr="000F004F" w:rsidRDefault="000F004F" w:rsidP="00451275">
      <w:pPr>
        <w:rPr>
          <w:rFonts w:ascii="Arial" w:eastAsia="Arial" w:hAnsi="Arial" w:cs="Arial"/>
          <w:lang w:val="en-GB"/>
        </w:rPr>
      </w:pPr>
      <w:r w:rsidRPr="000F004F">
        <w:rPr>
          <w:rFonts w:ascii="Arial" w:eastAsia="Arial" w:hAnsi="Arial" w:cs="Times New Roman"/>
          <w:b/>
          <w:color w:val="029D96"/>
          <w:lang w:val="en-GB"/>
        </w:rPr>
        <w:t>Thank you to everyone involved in the session – please do share details with colleagues and encourage them to join the mailing list</w:t>
      </w:r>
      <w:r w:rsidR="00305FFB">
        <w:rPr>
          <w:rFonts w:ascii="Arial" w:eastAsia="Arial" w:hAnsi="Arial" w:cs="Times New Roman"/>
          <w:b/>
          <w:color w:val="029D96"/>
          <w:lang w:val="en-GB"/>
        </w:rPr>
        <w:t xml:space="preserve"> and hyvr</w:t>
      </w:r>
      <w:r w:rsidRPr="000F004F">
        <w:rPr>
          <w:rFonts w:ascii="Arial" w:eastAsia="Arial" w:hAnsi="Arial" w:cs="Times New Roman"/>
          <w:b/>
          <w:color w:val="029D96"/>
          <w:lang w:val="en-GB"/>
        </w:rPr>
        <w:t>!</w:t>
      </w:r>
    </w:p>
    <w:p w:rsidR="000F004F" w:rsidRDefault="000F004F" w:rsidP="00451275">
      <w:pPr>
        <w:rPr>
          <w:rFonts w:asciiTheme="majorHAnsi" w:hAnsiTheme="majorHAnsi" w:cstheme="majorHAnsi"/>
          <w:lang w:val="en-GB"/>
        </w:rPr>
      </w:pPr>
    </w:p>
    <w:p w:rsidR="00176080" w:rsidRDefault="00176080" w:rsidP="00451275">
      <w:pPr>
        <w:rPr>
          <w:rFonts w:asciiTheme="majorHAnsi" w:hAnsiTheme="majorHAnsi" w:cstheme="majorHAnsi"/>
          <w:lang w:val="en-GB"/>
        </w:rPr>
      </w:pPr>
    </w:p>
    <w:sectPr w:rsidR="00176080" w:rsidSect="00176080">
      <w:footerReference w:type="default" r:id="rId42"/>
      <w:headerReference w:type="first" r:id="rId43"/>
      <w:footerReference w:type="first" r:id="rId44"/>
      <w:type w:val="continuous"/>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04F" w:rsidRDefault="000F004F" w:rsidP="00CA52D2">
      <w:r>
        <w:separator/>
      </w:r>
    </w:p>
  </w:endnote>
  <w:endnote w:type="continuationSeparator" w:id="0">
    <w:p w:rsidR="000F004F" w:rsidRDefault="000F004F" w:rsidP="00CA5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753191"/>
      <w:docPartObj>
        <w:docPartGallery w:val="Page Numbers (Bottom of Page)"/>
        <w:docPartUnique/>
      </w:docPartObj>
    </w:sdtPr>
    <w:sdtEndPr>
      <w:rPr>
        <w:noProof/>
      </w:rPr>
    </w:sdtEndPr>
    <w:sdtContent>
      <w:p w:rsidR="001B3D9F" w:rsidRDefault="001B3D9F" w:rsidP="00B00662">
        <w:pPr>
          <w:pStyle w:val="Footer"/>
          <w:jc w:val="center"/>
        </w:pPr>
        <w:r>
          <w:fldChar w:fldCharType="begin"/>
        </w:r>
        <w:r>
          <w:instrText xml:space="preserve"> PAGE   \* MERGEFORMAT </w:instrText>
        </w:r>
        <w:r>
          <w:fldChar w:fldCharType="separate"/>
        </w:r>
        <w:r w:rsidR="00752DD2">
          <w:rPr>
            <w:noProof/>
          </w:rPr>
          <w:t>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D9F" w:rsidRDefault="001B3D9F" w:rsidP="00587EAD">
    <w:pPr>
      <w:pStyle w:val="NoSpacing"/>
    </w:pPr>
  </w:p>
  <w:p w:rsidR="001B3D9F" w:rsidRDefault="001B3D9F" w:rsidP="00587EAD">
    <w:pPr>
      <w:pStyle w:val="NoSpacing"/>
    </w:pPr>
    <w:r w:rsidRPr="00161793">
      <w:rPr>
        <w:noProof/>
        <w:lang w:val="en-GB" w:eastAsia="en-GB"/>
      </w:rPr>
      <w:drawing>
        <wp:anchor distT="0" distB="0" distL="114300" distR="114300" simplePos="0" relativeHeight="251675648" behindDoc="1" locked="0" layoutInCell="1" allowOverlap="1" wp14:anchorId="0FA792B3" wp14:editId="2AB3941A">
          <wp:simplePos x="0" y="0"/>
          <wp:positionH relativeFrom="column">
            <wp:posOffset>-921385</wp:posOffset>
          </wp:positionH>
          <wp:positionV relativeFrom="paragraph">
            <wp:posOffset>9051</wp:posOffset>
          </wp:positionV>
          <wp:extent cx="7575550" cy="1742440"/>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 RGB-01.jpg"/>
                  <pic:cNvPicPr/>
                </pic:nvPicPr>
                <pic:blipFill rotWithShape="1">
                  <a:blip r:embed="rId1" cstate="print">
                    <a:extLst>
                      <a:ext uri="{28A0092B-C50C-407E-A947-70E740481C1C}">
                        <a14:useLocalDpi xmlns:a14="http://schemas.microsoft.com/office/drawing/2010/main"/>
                      </a:ext>
                    </a:extLst>
                  </a:blip>
                  <a:srcRect t="83727"/>
                  <a:stretch/>
                </pic:blipFill>
                <pic:spPr bwMode="auto">
                  <a:xfrm>
                    <a:off x="0" y="0"/>
                    <a:ext cx="7575550" cy="174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3D9F" w:rsidRDefault="001B3D9F" w:rsidP="00587EAD">
    <w:pPr>
      <w:pStyle w:val="NoSpacing"/>
    </w:pPr>
  </w:p>
  <w:p w:rsidR="001B3D9F" w:rsidRDefault="001B3D9F" w:rsidP="00587EAD">
    <w:pPr>
      <w:pStyle w:val="NoSpacing"/>
    </w:pPr>
  </w:p>
  <w:p w:rsidR="001B3D9F" w:rsidRDefault="001B3D9F" w:rsidP="00587EAD">
    <w:pPr>
      <w:pStyle w:val="NoSpacing"/>
    </w:pPr>
  </w:p>
  <w:p w:rsidR="001B3D9F" w:rsidRDefault="001B3D9F" w:rsidP="00587EAD">
    <w:pPr>
      <w:pStyle w:val="NoSpacing"/>
    </w:pPr>
  </w:p>
  <w:p w:rsidR="001B3D9F" w:rsidRDefault="001B3D9F" w:rsidP="00587EAD">
    <w:pPr>
      <w:pStyle w:val="NoSpacing"/>
    </w:pPr>
  </w:p>
  <w:p w:rsidR="001B3D9F" w:rsidRDefault="001B3D9F" w:rsidP="00587EAD">
    <w:pPr>
      <w:pStyle w:val="NoSpacing"/>
    </w:pPr>
    <w:r w:rsidRPr="00161793">
      <w:rPr>
        <w:noProof/>
        <w:lang w:val="en-GB" w:eastAsia="en-GB"/>
      </w:rPr>
      <w:drawing>
        <wp:anchor distT="0" distB="0" distL="114300" distR="114300" simplePos="0" relativeHeight="251676672" behindDoc="0" locked="0" layoutInCell="1" allowOverlap="1" wp14:anchorId="46457054" wp14:editId="70F319E8">
          <wp:simplePos x="0" y="0"/>
          <wp:positionH relativeFrom="column">
            <wp:posOffset>-501176</wp:posOffset>
          </wp:positionH>
          <wp:positionV relativeFrom="paragraph">
            <wp:posOffset>-636270</wp:posOffset>
          </wp:positionV>
          <wp:extent cx="1583055" cy="9366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C West of England logo - white transparent.png"/>
                  <pic:cNvPicPr/>
                </pic:nvPicPr>
                <pic:blipFill>
                  <a:blip r:embed="rId2" cstate="print">
                    <a:extLst>
                      <a:ext uri="{28A0092B-C50C-407E-A947-70E740481C1C}">
                        <a14:useLocalDpi xmlns:a14="http://schemas.microsoft.com/office/drawing/2010/main"/>
                      </a:ext>
                    </a:extLst>
                  </a:blip>
                  <a:stretch>
                    <a:fillRect/>
                  </a:stretch>
                </pic:blipFill>
                <pic:spPr>
                  <a:xfrm>
                    <a:off x="0" y="0"/>
                    <a:ext cx="1583055" cy="9366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04F" w:rsidRDefault="000F004F" w:rsidP="00CA52D2">
      <w:r>
        <w:separator/>
      </w:r>
    </w:p>
  </w:footnote>
  <w:footnote w:type="continuationSeparator" w:id="0">
    <w:p w:rsidR="000F004F" w:rsidRDefault="000F004F" w:rsidP="00CA52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D9F" w:rsidRDefault="001B3D9F">
    <w:pPr>
      <w:pStyle w:val="Header"/>
    </w:pPr>
    <w:r w:rsidRPr="00161793">
      <w:rPr>
        <w:noProof/>
        <w:lang w:val="en-GB" w:eastAsia="en-GB"/>
      </w:rPr>
      <w:drawing>
        <wp:anchor distT="0" distB="0" distL="114300" distR="114300" simplePos="0" relativeHeight="251674624" behindDoc="1" locked="0" layoutInCell="1" allowOverlap="1" wp14:anchorId="5A65B1F0" wp14:editId="0A682D2A">
          <wp:simplePos x="0" y="0"/>
          <wp:positionH relativeFrom="column">
            <wp:posOffset>-638175</wp:posOffset>
          </wp:positionH>
          <wp:positionV relativeFrom="paragraph">
            <wp:posOffset>-41910</wp:posOffset>
          </wp:positionV>
          <wp:extent cx="2374900" cy="381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2374900" cy="381000"/>
                  </a:xfrm>
                  <a:prstGeom prst="rect">
                    <a:avLst/>
                  </a:prstGeom>
                </pic:spPr>
              </pic:pic>
            </a:graphicData>
          </a:graphic>
          <wp14:sizeRelH relativeFrom="page">
            <wp14:pctWidth>0</wp14:pctWidth>
          </wp14:sizeRelH>
          <wp14:sizeRelV relativeFrom="page">
            <wp14:pctHeight>0</wp14:pctHeight>
          </wp14:sizeRelV>
        </wp:anchor>
      </w:drawing>
    </w:r>
    <w:r w:rsidRPr="00161793">
      <w:rPr>
        <w:noProof/>
        <w:lang w:val="en-GB" w:eastAsia="en-GB"/>
      </w:rPr>
      <w:drawing>
        <wp:anchor distT="0" distB="0" distL="114300" distR="114300" simplePos="0" relativeHeight="251673600" behindDoc="1" locked="0" layoutInCell="1" allowOverlap="1" wp14:anchorId="59996A17" wp14:editId="6D87D948">
          <wp:simplePos x="0" y="0"/>
          <wp:positionH relativeFrom="column">
            <wp:posOffset>4412615</wp:posOffset>
          </wp:positionH>
          <wp:positionV relativeFrom="paragraph">
            <wp:posOffset>-461010</wp:posOffset>
          </wp:positionV>
          <wp:extent cx="2217420" cy="1294765"/>
          <wp:effectExtent l="0" t="0" r="0" b="0"/>
          <wp:wrapNone/>
          <wp:docPr id="18" name="Picture 18" descr="/Volumes/Studio2/Clients_N/NHS Improvements/FINAL Docs/images/logo A4.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tudio2/Clients_N/NHS Improvements/FINAL Docs/images/logo A4.ai"/>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2217420" cy="1294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3D9F" w:rsidRDefault="001B3D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0342"/>
    <w:multiLevelType w:val="hybridMultilevel"/>
    <w:tmpl w:val="38F20224"/>
    <w:lvl w:ilvl="0" w:tplc="EC620F30">
      <w:start w:val="3"/>
      <w:numFmt w:val="bullet"/>
      <w:lvlText w:val=""/>
      <w:lvlJc w:val="left"/>
      <w:pPr>
        <w:ind w:left="360" w:hanging="360"/>
      </w:pPr>
      <w:rPr>
        <w:rFonts w:ascii="Symbol" w:eastAsiaTheme="minorHAnsi" w:hAnsi="Symbol" w:cstheme="maj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3E92F6E"/>
    <w:multiLevelType w:val="hybridMultilevel"/>
    <w:tmpl w:val="4C10754C"/>
    <w:lvl w:ilvl="0" w:tplc="58BC8694">
      <w:start w:val="3"/>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667482"/>
    <w:multiLevelType w:val="hybridMultilevel"/>
    <w:tmpl w:val="E214B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325E69"/>
    <w:multiLevelType w:val="hybridMultilevel"/>
    <w:tmpl w:val="D04ED4BC"/>
    <w:lvl w:ilvl="0" w:tplc="AAF6102C">
      <w:start w:val="13"/>
      <w:numFmt w:val="bullet"/>
      <w:lvlText w:val=""/>
      <w:lvlJc w:val="left"/>
      <w:pPr>
        <w:ind w:left="360" w:hanging="360"/>
      </w:pPr>
      <w:rPr>
        <w:rFonts w:ascii="Symbol" w:eastAsiaTheme="minorHAnsi" w:hAnsi="Symbol" w:cstheme="maj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90875D0"/>
    <w:multiLevelType w:val="hybridMultilevel"/>
    <w:tmpl w:val="FDE61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914F78"/>
    <w:multiLevelType w:val="hybridMultilevel"/>
    <w:tmpl w:val="8FDA2F4E"/>
    <w:lvl w:ilvl="0" w:tplc="EC620F30">
      <w:start w:val="3"/>
      <w:numFmt w:val="bullet"/>
      <w:lvlText w:val=""/>
      <w:lvlJc w:val="left"/>
      <w:pPr>
        <w:ind w:left="360" w:hanging="360"/>
      </w:pPr>
      <w:rPr>
        <w:rFonts w:ascii="Symbol" w:eastAsiaTheme="minorHAnsi" w:hAnsi="Symbol" w:cstheme="maj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8EC3273"/>
    <w:multiLevelType w:val="hybridMultilevel"/>
    <w:tmpl w:val="4FD29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DC354D1"/>
    <w:multiLevelType w:val="hybridMultilevel"/>
    <w:tmpl w:val="3D3A2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03F1BC8"/>
    <w:multiLevelType w:val="hybridMultilevel"/>
    <w:tmpl w:val="E36C3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44460E9"/>
    <w:multiLevelType w:val="hybridMultilevel"/>
    <w:tmpl w:val="42F87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78C3E3A"/>
    <w:multiLevelType w:val="hybridMultilevel"/>
    <w:tmpl w:val="0B18E31A"/>
    <w:lvl w:ilvl="0" w:tplc="58BC8694">
      <w:start w:val="3"/>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8043A2A"/>
    <w:multiLevelType w:val="hybridMultilevel"/>
    <w:tmpl w:val="4C664C2C"/>
    <w:lvl w:ilvl="0" w:tplc="58BC869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37470A4"/>
    <w:multiLevelType w:val="hybridMultilevel"/>
    <w:tmpl w:val="6C2C6D92"/>
    <w:lvl w:ilvl="0" w:tplc="5A2E04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E95A64"/>
    <w:multiLevelType w:val="hybridMultilevel"/>
    <w:tmpl w:val="CE3432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CF80595"/>
    <w:multiLevelType w:val="hybridMultilevel"/>
    <w:tmpl w:val="BFEA24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3EE1D1B"/>
    <w:multiLevelType w:val="hybridMultilevel"/>
    <w:tmpl w:val="B964A7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5AB1144E"/>
    <w:multiLevelType w:val="hybridMultilevel"/>
    <w:tmpl w:val="7244017C"/>
    <w:lvl w:ilvl="0" w:tplc="58BC869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9903BE"/>
    <w:multiLevelType w:val="hybridMultilevel"/>
    <w:tmpl w:val="72244450"/>
    <w:lvl w:ilvl="0" w:tplc="EC620F30">
      <w:start w:val="3"/>
      <w:numFmt w:val="bullet"/>
      <w:lvlText w:val=""/>
      <w:lvlJc w:val="left"/>
      <w:pPr>
        <w:ind w:left="360" w:hanging="360"/>
      </w:pPr>
      <w:rPr>
        <w:rFonts w:ascii="Symbol" w:eastAsiaTheme="minorHAnsi"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942314D"/>
    <w:multiLevelType w:val="hybridMultilevel"/>
    <w:tmpl w:val="188AC0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798075FA"/>
    <w:multiLevelType w:val="hybridMultilevel"/>
    <w:tmpl w:val="7526C35E"/>
    <w:lvl w:ilvl="0" w:tplc="F11432A4">
      <w:numFmt w:val="bullet"/>
      <w:lvlText w:val=""/>
      <w:lvlJc w:val="left"/>
      <w:pPr>
        <w:ind w:left="360" w:hanging="360"/>
      </w:pPr>
      <w:rPr>
        <w:rFonts w:ascii="Symbol" w:eastAsiaTheme="minorHAnsi"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19"/>
  </w:num>
  <w:num w:numId="3">
    <w:abstractNumId w:val="12"/>
  </w:num>
  <w:num w:numId="4">
    <w:abstractNumId w:val="0"/>
  </w:num>
  <w:num w:numId="5">
    <w:abstractNumId w:val="6"/>
  </w:num>
  <w:num w:numId="6">
    <w:abstractNumId w:val="9"/>
  </w:num>
  <w:num w:numId="7">
    <w:abstractNumId w:val="15"/>
  </w:num>
  <w:num w:numId="8">
    <w:abstractNumId w:val="3"/>
  </w:num>
  <w:num w:numId="9">
    <w:abstractNumId w:val="5"/>
  </w:num>
  <w:num w:numId="10">
    <w:abstractNumId w:val="8"/>
  </w:num>
  <w:num w:numId="11">
    <w:abstractNumId w:val="17"/>
  </w:num>
  <w:num w:numId="12">
    <w:abstractNumId w:val="2"/>
  </w:num>
  <w:num w:numId="13">
    <w:abstractNumId w:val="4"/>
  </w:num>
  <w:num w:numId="14">
    <w:abstractNumId w:val="7"/>
  </w:num>
  <w:num w:numId="15">
    <w:abstractNumId w:val="14"/>
  </w:num>
  <w:num w:numId="16">
    <w:abstractNumId w:val="1"/>
  </w:num>
  <w:num w:numId="17">
    <w:abstractNumId w:val="18"/>
  </w:num>
  <w:num w:numId="18">
    <w:abstractNumId w:val="16"/>
  </w:num>
  <w:num w:numId="19">
    <w:abstractNumId w:val="1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3"/>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04F"/>
    <w:rsid w:val="00012E6E"/>
    <w:rsid w:val="0007294B"/>
    <w:rsid w:val="000A2E1F"/>
    <w:rsid w:val="000A2FA8"/>
    <w:rsid w:val="000A4236"/>
    <w:rsid w:val="000B4E98"/>
    <w:rsid w:val="000D7A84"/>
    <w:rsid w:val="000F004F"/>
    <w:rsid w:val="000F1732"/>
    <w:rsid w:val="000F65FD"/>
    <w:rsid w:val="0012388B"/>
    <w:rsid w:val="001442D9"/>
    <w:rsid w:val="00156214"/>
    <w:rsid w:val="00161793"/>
    <w:rsid w:val="001633FB"/>
    <w:rsid w:val="00176080"/>
    <w:rsid w:val="00186DF9"/>
    <w:rsid w:val="001A2991"/>
    <w:rsid w:val="001B3D9F"/>
    <w:rsid w:val="0020445A"/>
    <w:rsid w:val="00246FCE"/>
    <w:rsid w:val="00252AFC"/>
    <w:rsid w:val="00272B0D"/>
    <w:rsid w:val="002954C0"/>
    <w:rsid w:val="002B1B85"/>
    <w:rsid w:val="002D4437"/>
    <w:rsid w:val="002E6F23"/>
    <w:rsid w:val="00305FFB"/>
    <w:rsid w:val="003445A8"/>
    <w:rsid w:val="00351BDE"/>
    <w:rsid w:val="003770B2"/>
    <w:rsid w:val="003826BB"/>
    <w:rsid w:val="0039506C"/>
    <w:rsid w:val="003E4805"/>
    <w:rsid w:val="00425FBF"/>
    <w:rsid w:val="00432F3F"/>
    <w:rsid w:val="00437C10"/>
    <w:rsid w:val="00451275"/>
    <w:rsid w:val="0049066A"/>
    <w:rsid w:val="004A167E"/>
    <w:rsid w:val="004C1D72"/>
    <w:rsid w:val="00501262"/>
    <w:rsid w:val="00542A78"/>
    <w:rsid w:val="00554DFC"/>
    <w:rsid w:val="00580972"/>
    <w:rsid w:val="00587EAD"/>
    <w:rsid w:val="005A42A6"/>
    <w:rsid w:val="005E1D45"/>
    <w:rsid w:val="0062085B"/>
    <w:rsid w:val="0062771A"/>
    <w:rsid w:val="00654F05"/>
    <w:rsid w:val="00672987"/>
    <w:rsid w:val="006908B7"/>
    <w:rsid w:val="006916F6"/>
    <w:rsid w:val="006A6350"/>
    <w:rsid w:val="006F3B85"/>
    <w:rsid w:val="00726453"/>
    <w:rsid w:val="00732616"/>
    <w:rsid w:val="00732E19"/>
    <w:rsid w:val="0073584D"/>
    <w:rsid w:val="00752DD2"/>
    <w:rsid w:val="0078092E"/>
    <w:rsid w:val="007B4B4B"/>
    <w:rsid w:val="007C0986"/>
    <w:rsid w:val="007C1D28"/>
    <w:rsid w:val="007E5AB1"/>
    <w:rsid w:val="007E7131"/>
    <w:rsid w:val="00805C29"/>
    <w:rsid w:val="00867C15"/>
    <w:rsid w:val="00896945"/>
    <w:rsid w:val="008A3EAF"/>
    <w:rsid w:val="008B510D"/>
    <w:rsid w:val="009A2D6D"/>
    <w:rsid w:val="009B1E65"/>
    <w:rsid w:val="009C4F1D"/>
    <w:rsid w:val="009C5297"/>
    <w:rsid w:val="00A06898"/>
    <w:rsid w:val="00A3455D"/>
    <w:rsid w:val="00A424E1"/>
    <w:rsid w:val="00A91AE8"/>
    <w:rsid w:val="00A91C54"/>
    <w:rsid w:val="00AA7E70"/>
    <w:rsid w:val="00AC26FF"/>
    <w:rsid w:val="00AC4A80"/>
    <w:rsid w:val="00AC5BAB"/>
    <w:rsid w:val="00AD3800"/>
    <w:rsid w:val="00B00662"/>
    <w:rsid w:val="00B10335"/>
    <w:rsid w:val="00B14F82"/>
    <w:rsid w:val="00B175B1"/>
    <w:rsid w:val="00B2672E"/>
    <w:rsid w:val="00B32D9F"/>
    <w:rsid w:val="00B55D5B"/>
    <w:rsid w:val="00B571F1"/>
    <w:rsid w:val="00B73A3A"/>
    <w:rsid w:val="00BE2EA7"/>
    <w:rsid w:val="00C163FF"/>
    <w:rsid w:val="00C322BF"/>
    <w:rsid w:val="00C55D38"/>
    <w:rsid w:val="00C779B3"/>
    <w:rsid w:val="00CA52D2"/>
    <w:rsid w:val="00CD49BA"/>
    <w:rsid w:val="00CE4234"/>
    <w:rsid w:val="00D04F43"/>
    <w:rsid w:val="00D10666"/>
    <w:rsid w:val="00D33BA1"/>
    <w:rsid w:val="00D56085"/>
    <w:rsid w:val="00D77924"/>
    <w:rsid w:val="00D84E30"/>
    <w:rsid w:val="00D87836"/>
    <w:rsid w:val="00DF0931"/>
    <w:rsid w:val="00DF6FC5"/>
    <w:rsid w:val="00E07D01"/>
    <w:rsid w:val="00E54DCC"/>
    <w:rsid w:val="00EB1BB4"/>
    <w:rsid w:val="00EC7C38"/>
    <w:rsid w:val="00ED7A9F"/>
    <w:rsid w:val="00EE4039"/>
    <w:rsid w:val="00F03F2A"/>
    <w:rsid w:val="00F04971"/>
    <w:rsid w:val="00F16663"/>
    <w:rsid w:val="00F263A8"/>
    <w:rsid w:val="00F65D2D"/>
    <w:rsid w:val="00FC2C33"/>
    <w:rsid w:val="00FD7A12"/>
    <w:rsid w:val="00FF7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EAD"/>
    <w:pPr>
      <w:spacing w:after="220"/>
    </w:pPr>
    <w:rPr>
      <w:sz w:val="22"/>
    </w:rPr>
  </w:style>
  <w:style w:type="paragraph" w:styleId="Heading1">
    <w:name w:val="heading 1"/>
    <w:basedOn w:val="Normal"/>
    <w:next w:val="Normal"/>
    <w:link w:val="Heading1Char"/>
    <w:uiPriority w:val="9"/>
    <w:qFormat/>
    <w:rsid w:val="0078092E"/>
    <w:pPr>
      <w:keepNext/>
      <w:keepLines/>
      <w:spacing w:before="480" w:after="160"/>
      <w:outlineLvl w:val="0"/>
    </w:pPr>
    <w:rPr>
      <w:rFonts w:asciiTheme="majorHAnsi" w:eastAsiaTheme="majorEastAsia" w:hAnsiTheme="majorHAnsi" w:cstheme="majorBidi"/>
      <w:b/>
      <w:bCs/>
      <w:color w:val="002E62" w:themeColor="accent1" w:themeShade="BF"/>
      <w:sz w:val="28"/>
      <w:szCs w:val="28"/>
      <w:lang w:val="en-GB"/>
    </w:rPr>
  </w:style>
  <w:style w:type="paragraph" w:styleId="Heading2">
    <w:name w:val="heading 2"/>
    <w:basedOn w:val="Normal"/>
    <w:next w:val="Normal"/>
    <w:link w:val="Heading2Char"/>
    <w:uiPriority w:val="9"/>
    <w:unhideWhenUsed/>
    <w:qFormat/>
    <w:rsid w:val="0078092E"/>
    <w:pPr>
      <w:keepNext/>
      <w:keepLines/>
      <w:spacing w:before="200" w:after="240"/>
      <w:outlineLvl w:val="1"/>
    </w:pPr>
    <w:rPr>
      <w:rFonts w:asciiTheme="majorHAnsi" w:eastAsiaTheme="majorEastAsia" w:hAnsiTheme="majorHAnsi" w:cstheme="majorBidi"/>
      <w:b/>
      <w:bCs/>
      <w:color w:val="013F84" w:themeColor="accent1"/>
      <w:sz w:val="26"/>
      <w:szCs w:val="26"/>
    </w:rPr>
  </w:style>
  <w:style w:type="paragraph" w:styleId="Heading3">
    <w:name w:val="heading 3"/>
    <w:basedOn w:val="Normal"/>
    <w:next w:val="Normal"/>
    <w:link w:val="Heading3Char"/>
    <w:uiPriority w:val="9"/>
    <w:unhideWhenUsed/>
    <w:qFormat/>
    <w:rsid w:val="00587EAD"/>
    <w:pPr>
      <w:keepNext/>
      <w:keepLines/>
      <w:spacing w:before="200" w:after="200"/>
      <w:outlineLvl w:val="2"/>
    </w:pPr>
    <w:rPr>
      <w:rFonts w:asciiTheme="majorHAnsi" w:eastAsiaTheme="majorEastAsia" w:hAnsiTheme="majorHAnsi" w:cstheme="majorHAnsi"/>
      <w:b/>
      <w:bCs/>
      <w:color w:val="013F84" w:themeColor="accent1"/>
      <w:szCs w:val="22"/>
      <w:lang w:val="en-GB"/>
    </w:rPr>
  </w:style>
  <w:style w:type="paragraph" w:styleId="Heading4">
    <w:name w:val="heading 4"/>
    <w:basedOn w:val="Normal"/>
    <w:next w:val="Normal"/>
    <w:link w:val="Heading4Char"/>
    <w:uiPriority w:val="9"/>
    <w:unhideWhenUsed/>
    <w:qFormat/>
    <w:rsid w:val="00A06898"/>
    <w:pPr>
      <w:keepNext/>
      <w:keepLines/>
      <w:spacing w:before="220"/>
      <w:outlineLvl w:val="3"/>
    </w:pPr>
    <w:rPr>
      <w:rFonts w:asciiTheme="majorHAnsi" w:eastAsiaTheme="majorEastAsia" w:hAnsiTheme="majorHAnsi" w:cstheme="majorBidi"/>
      <w:b/>
      <w:bCs/>
      <w:i/>
      <w:iCs/>
      <w:color w:val="013F84" w:themeColor="accent1"/>
      <w:lang w:val="en-GB"/>
    </w:rPr>
  </w:style>
  <w:style w:type="paragraph" w:styleId="Heading5">
    <w:name w:val="heading 5"/>
    <w:basedOn w:val="Normal"/>
    <w:next w:val="Normal"/>
    <w:link w:val="Heading5Char"/>
    <w:uiPriority w:val="9"/>
    <w:unhideWhenUsed/>
    <w:qFormat/>
    <w:rsid w:val="00B73A3A"/>
    <w:pPr>
      <w:keepNext/>
      <w:keepLines/>
      <w:spacing w:before="200" w:after="0"/>
      <w:outlineLvl w:val="4"/>
    </w:pPr>
    <w:rPr>
      <w:rFonts w:asciiTheme="majorHAnsi" w:eastAsiaTheme="majorEastAsia" w:hAnsiTheme="majorHAnsi" w:cstheme="majorBidi"/>
      <w:color w:val="001F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2D2"/>
    <w:pPr>
      <w:tabs>
        <w:tab w:val="center" w:pos="4513"/>
        <w:tab w:val="right" w:pos="9026"/>
      </w:tabs>
    </w:pPr>
  </w:style>
  <w:style w:type="character" w:customStyle="1" w:styleId="HeaderChar">
    <w:name w:val="Header Char"/>
    <w:basedOn w:val="DefaultParagraphFont"/>
    <w:link w:val="Header"/>
    <w:uiPriority w:val="99"/>
    <w:rsid w:val="00CA52D2"/>
  </w:style>
  <w:style w:type="paragraph" w:styleId="Footer">
    <w:name w:val="footer"/>
    <w:basedOn w:val="Normal"/>
    <w:link w:val="FooterChar"/>
    <w:uiPriority w:val="99"/>
    <w:unhideWhenUsed/>
    <w:rsid w:val="00CA52D2"/>
    <w:pPr>
      <w:tabs>
        <w:tab w:val="center" w:pos="4513"/>
        <w:tab w:val="right" w:pos="9026"/>
      </w:tabs>
    </w:pPr>
  </w:style>
  <w:style w:type="character" w:customStyle="1" w:styleId="FooterChar">
    <w:name w:val="Footer Char"/>
    <w:basedOn w:val="DefaultParagraphFont"/>
    <w:link w:val="Footer"/>
    <w:uiPriority w:val="99"/>
    <w:rsid w:val="00CA52D2"/>
  </w:style>
  <w:style w:type="paragraph" w:styleId="BalloonText">
    <w:name w:val="Balloon Text"/>
    <w:basedOn w:val="Normal"/>
    <w:link w:val="BalloonTextChar"/>
    <w:uiPriority w:val="99"/>
    <w:semiHidden/>
    <w:unhideWhenUsed/>
    <w:rsid w:val="00C55D38"/>
    <w:rPr>
      <w:rFonts w:ascii="Tahoma" w:hAnsi="Tahoma" w:cs="Tahoma"/>
      <w:sz w:val="16"/>
      <w:szCs w:val="16"/>
    </w:rPr>
  </w:style>
  <w:style w:type="character" w:customStyle="1" w:styleId="BalloonTextChar">
    <w:name w:val="Balloon Text Char"/>
    <w:basedOn w:val="DefaultParagraphFont"/>
    <w:link w:val="BalloonText"/>
    <w:uiPriority w:val="99"/>
    <w:semiHidden/>
    <w:rsid w:val="00C55D38"/>
    <w:rPr>
      <w:rFonts w:ascii="Tahoma" w:hAnsi="Tahoma" w:cs="Tahoma"/>
      <w:sz w:val="16"/>
      <w:szCs w:val="16"/>
    </w:rPr>
  </w:style>
  <w:style w:type="table" w:styleId="TableGrid">
    <w:name w:val="Table Grid"/>
    <w:basedOn w:val="TableNormal"/>
    <w:uiPriority w:val="59"/>
    <w:rsid w:val="000A2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2FA8"/>
    <w:rPr>
      <w:color w:val="0068B4" w:themeColor="hyperlink"/>
      <w:u w:val="single"/>
    </w:rPr>
  </w:style>
  <w:style w:type="paragraph" w:styleId="ListParagraph">
    <w:name w:val="List Paragraph"/>
    <w:basedOn w:val="Normal"/>
    <w:uiPriority w:val="34"/>
    <w:qFormat/>
    <w:rsid w:val="00351BDE"/>
    <w:pPr>
      <w:spacing w:after="200" w:line="276" w:lineRule="auto"/>
      <w:ind w:left="720"/>
      <w:contextualSpacing/>
    </w:pPr>
    <w:rPr>
      <w:szCs w:val="22"/>
      <w:lang w:val="en-GB"/>
    </w:rPr>
  </w:style>
  <w:style w:type="character" w:customStyle="1" w:styleId="Heading3Char">
    <w:name w:val="Heading 3 Char"/>
    <w:basedOn w:val="DefaultParagraphFont"/>
    <w:link w:val="Heading3"/>
    <w:uiPriority w:val="9"/>
    <w:rsid w:val="00587EAD"/>
    <w:rPr>
      <w:rFonts w:asciiTheme="majorHAnsi" w:eastAsiaTheme="majorEastAsia" w:hAnsiTheme="majorHAnsi" w:cstheme="majorHAnsi"/>
      <w:b/>
      <w:bCs/>
      <w:color w:val="013F84" w:themeColor="accent1"/>
      <w:sz w:val="22"/>
      <w:szCs w:val="22"/>
      <w:lang w:val="en-GB"/>
    </w:rPr>
  </w:style>
  <w:style w:type="paragraph" w:styleId="NoSpacing">
    <w:name w:val="No Spacing"/>
    <w:uiPriority w:val="1"/>
    <w:qFormat/>
    <w:rsid w:val="00587EAD"/>
    <w:rPr>
      <w:sz w:val="22"/>
    </w:rPr>
  </w:style>
  <w:style w:type="character" w:customStyle="1" w:styleId="Heading1Char">
    <w:name w:val="Heading 1 Char"/>
    <w:basedOn w:val="DefaultParagraphFont"/>
    <w:link w:val="Heading1"/>
    <w:uiPriority w:val="9"/>
    <w:rsid w:val="0078092E"/>
    <w:rPr>
      <w:rFonts w:asciiTheme="majorHAnsi" w:eastAsiaTheme="majorEastAsia" w:hAnsiTheme="majorHAnsi" w:cstheme="majorBidi"/>
      <w:b/>
      <w:bCs/>
      <w:color w:val="002E62" w:themeColor="accent1" w:themeShade="BF"/>
      <w:sz w:val="28"/>
      <w:szCs w:val="28"/>
      <w:lang w:val="en-GB"/>
    </w:rPr>
  </w:style>
  <w:style w:type="character" w:styleId="SubtleEmphasis">
    <w:name w:val="Subtle Emphasis"/>
    <w:basedOn w:val="DefaultParagraphFont"/>
    <w:uiPriority w:val="19"/>
    <w:qFormat/>
    <w:rsid w:val="00587EAD"/>
    <w:rPr>
      <w:i/>
      <w:iCs/>
      <w:color w:val="9AADBD" w:themeColor="text1" w:themeTint="7F"/>
    </w:rPr>
  </w:style>
  <w:style w:type="character" w:customStyle="1" w:styleId="Heading2Char">
    <w:name w:val="Heading 2 Char"/>
    <w:basedOn w:val="DefaultParagraphFont"/>
    <w:link w:val="Heading2"/>
    <w:uiPriority w:val="9"/>
    <w:rsid w:val="0078092E"/>
    <w:rPr>
      <w:rFonts w:asciiTheme="majorHAnsi" w:eastAsiaTheme="majorEastAsia" w:hAnsiTheme="majorHAnsi" w:cstheme="majorBidi"/>
      <w:b/>
      <w:bCs/>
      <w:color w:val="013F84" w:themeColor="accent1"/>
      <w:sz w:val="26"/>
      <w:szCs w:val="26"/>
    </w:rPr>
  </w:style>
  <w:style w:type="table" w:styleId="LightGrid-Accent1">
    <w:name w:val="Light Grid Accent 1"/>
    <w:basedOn w:val="TableNormal"/>
    <w:uiPriority w:val="62"/>
    <w:rsid w:val="00D10666"/>
    <w:tblPr>
      <w:tblStyleRowBandSize w:val="1"/>
      <w:tblStyleColBandSize w:val="1"/>
      <w:tblBorders>
        <w:top w:val="single" w:sz="8" w:space="0" w:color="013F84" w:themeColor="accent1"/>
        <w:left w:val="single" w:sz="8" w:space="0" w:color="013F84" w:themeColor="accent1"/>
        <w:bottom w:val="single" w:sz="8" w:space="0" w:color="013F84" w:themeColor="accent1"/>
        <w:right w:val="single" w:sz="8" w:space="0" w:color="013F84" w:themeColor="accent1"/>
        <w:insideH w:val="single" w:sz="8" w:space="0" w:color="013F84" w:themeColor="accent1"/>
        <w:insideV w:val="single" w:sz="8" w:space="0" w:color="013F8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3F84" w:themeColor="accent1"/>
          <w:left w:val="single" w:sz="8" w:space="0" w:color="013F84" w:themeColor="accent1"/>
          <w:bottom w:val="single" w:sz="18" w:space="0" w:color="013F84" w:themeColor="accent1"/>
          <w:right w:val="single" w:sz="8" w:space="0" w:color="013F84" w:themeColor="accent1"/>
          <w:insideH w:val="nil"/>
          <w:insideV w:val="single" w:sz="8" w:space="0" w:color="013F8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3F84" w:themeColor="accent1"/>
          <w:left w:val="single" w:sz="8" w:space="0" w:color="013F84" w:themeColor="accent1"/>
          <w:bottom w:val="single" w:sz="8" w:space="0" w:color="013F84" w:themeColor="accent1"/>
          <w:right w:val="single" w:sz="8" w:space="0" w:color="013F84" w:themeColor="accent1"/>
          <w:insideH w:val="nil"/>
          <w:insideV w:val="single" w:sz="8" w:space="0" w:color="013F8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3F84" w:themeColor="accent1"/>
          <w:left w:val="single" w:sz="8" w:space="0" w:color="013F84" w:themeColor="accent1"/>
          <w:bottom w:val="single" w:sz="8" w:space="0" w:color="013F84" w:themeColor="accent1"/>
          <w:right w:val="single" w:sz="8" w:space="0" w:color="013F84" w:themeColor="accent1"/>
        </w:tcBorders>
      </w:tcPr>
    </w:tblStylePr>
    <w:tblStylePr w:type="band1Vert">
      <w:tblPr/>
      <w:tcPr>
        <w:tcBorders>
          <w:top w:val="single" w:sz="8" w:space="0" w:color="013F84" w:themeColor="accent1"/>
          <w:left w:val="single" w:sz="8" w:space="0" w:color="013F84" w:themeColor="accent1"/>
          <w:bottom w:val="single" w:sz="8" w:space="0" w:color="013F84" w:themeColor="accent1"/>
          <w:right w:val="single" w:sz="8" w:space="0" w:color="013F84" w:themeColor="accent1"/>
        </w:tcBorders>
        <w:shd w:val="clear" w:color="auto" w:fill="A2CDFE" w:themeFill="accent1" w:themeFillTint="3F"/>
      </w:tcPr>
    </w:tblStylePr>
    <w:tblStylePr w:type="band1Horz">
      <w:tblPr/>
      <w:tcPr>
        <w:tcBorders>
          <w:top w:val="single" w:sz="8" w:space="0" w:color="013F84" w:themeColor="accent1"/>
          <w:left w:val="single" w:sz="8" w:space="0" w:color="013F84" w:themeColor="accent1"/>
          <w:bottom w:val="single" w:sz="8" w:space="0" w:color="013F84" w:themeColor="accent1"/>
          <w:right w:val="single" w:sz="8" w:space="0" w:color="013F84" w:themeColor="accent1"/>
          <w:insideV w:val="single" w:sz="8" w:space="0" w:color="013F84" w:themeColor="accent1"/>
        </w:tcBorders>
        <w:shd w:val="clear" w:color="auto" w:fill="A2CDFE" w:themeFill="accent1" w:themeFillTint="3F"/>
      </w:tcPr>
    </w:tblStylePr>
    <w:tblStylePr w:type="band2Horz">
      <w:tblPr/>
      <w:tcPr>
        <w:tcBorders>
          <w:top w:val="single" w:sz="8" w:space="0" w:color="013F84" w:themeColor="accent1"/>
          <w:left w:val="single" w:sz="8" w:space="0" w:color="013F84" w:themeColor="accent1"/>
          <w:bottom w:val="single" w:sz="8" w:space="0" w:color="013F84" w:themeColor="accent1"/>
          <w:right w:val="single" w:sz="8" w:space="0" w:color="013F84" w:themeColor="accent1"/>
          <w:insideV w:val="single" w:sz="8" w:space="0" w:color="013F84" w:themeColor="accent1"/>
        </w:tcBorders>
      </w:tcPr>
    </w:tblStylePr>
  </w:style>
  <w:style w:type="character" w:customStyle="1" w:styleId="Heading4Char">
    <w:name w:val="Heading 4 Char"/>
    <w:basedOn w:val="DefaultParagraphFont"/>
    <w:link w:val="Heading4"/>
    <w:uiPriority w:val="9"/>
    <w:rsid w:val="00A06898"/>
    <w:rPr>
      <w:rFonts w:asciiTheme="majorHAnsi" w:eastAsiaTheme="majorEastAsia" w:hAnsiTheme="majorHAnsi" w:cstheme="majorBidi"/>
      <w:b/>
      <w:bCs/>
      <w:i/>
      <w:iCs/>
      <w:color w:val="013F84" w:themeColor="accent1"/>
      <w:sz w:val="22"/>
      <w:lang w:val="en-GB"/>
    </w:rPr>
  </w:style>
  <w:style w:type="character" w:customStyle="1" w:styleId="Heading5Char">
    <w:name w:val="Heading 5 Char"/>
    <w:basedOn w:val="DefaultParagraphFont"/>
    <w:link w:val="Heading5"/>
    <w:uiPriority w:val="9"/>
    <w:rsid w:val="00B73A3A"/>
    <w:rPr>
      <w:rFonts w:asciiTheme="majorHAnsi" w:eastAsiaTheme="majorEastAsia" w:hAnsiTheme="majorHAnsi" w:cstheme="majorBidi"/>
      <w:color w:val="001F41" w:themeColor="accent1" w:themeShade="7F"/>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EAD"/>
    <w:pPr>
      <w:spacing w:after="220"/>
    </w:pPr>
    <w:rPr>
      <w:sz w:val="22"/>
    </w:rPr>
  </w:style>
  <w:style w:type="paragraph" w:styleId="Heading1">
    <w:name w:val="heading 1"/>
    <w:basedOn w:val="Normal"/>
    <w:next w:val="Normal"/>
    <w:link w:val="Heading1Char"/>
    <w:uiPriority w:val="9"/>
    <w:qFormat/>
    <w:rsid w:val="0078092E"/>
    <w:pPr>
      <w:keepNext/>
      <w:keepLines/>
      <w:spacing w:before="480" w:after="160"/>
      <w:outlineLvl w:val="0"/>
    </w:pPr>
    <w:rPr>
      <w:rFonts w:asciiTheme="majorHAnsi" w:eastAsiaTheme="majorEastAsia" w:hAnsiTheme="majorHAnsi" w:cstheme="majorBidi"/>
      <w:b/>
      <w:bCs/>
      <w:color w:val="002E62" w:themeColor="accent1" w:themeShade="BF"/>
      <w:sz w:val="28"/>
      <w:szCs w:val="28"/>
      <w:lang w:val="en-GB"/>
    </w:rPr>
  </w:style>
  <w:style w:type="paragraph" w:styleId="Heading2">
    <w:name w:val="heading 2"/>
    <w:basedOn w:val="Normal"/>
    <w:next w:val="Normal"/>
    <w:link w:val="Heading2Char"/>
    <w:uiPriority w:val="9"/>
    <w:unhideWhenUsed/>
    <w:qFormat/>
    <w:rsid w:val="0078092E"/>
    <w:pPr>
      <w:keepNext/>
      <w:keepLines/>
      <w:spacing w:before="200" w:after="240"/>
      <w:outlineLvl w:val="1"/>
    </w:pPr>
    <w:rPr>
      <w:rFonts w:asciiTheme="majorHAnsi" w:eastAsiaTheme="majorEastAsia" w:hAnsiTheme="majorHAnsi" w:cstheme="majorBidi"/>
      <w:b/>
      <w:bCs/>
      <w:color w:val="013F84" w:themeColor="accent1"/>
      <w:sz w:val="26"/>
      <w:szCs w:val="26"/>
    </w:rPr>
  </w:style>
  <w:style w:type="paragraph" w:styleId="Heading3">
    <w:name w:val="heading 3"/>
    <w:basedOn w:val="Normal"/>
    <w:next w:val="Normal"/>
    <w:link w:val="Heading3Char"/>
    <w:uiPriority w:val="9"/>
    <w:unhideWhenUsed/>
    <w:qFormat/>
    <w:rsid w:val="00587EAD"/>
    <w:pPr>
      <w:keepNext/>
      <w:keepLines/>
      <w:spacing w:before="200" w:after="200"/>
      <w:outlineLvl w:val="2"/>
    </w:pPr>
    <w:rPr>
      <w:rFonts w:asciiTheme="majorHAnsi" w:eastAsiaTheme="majorEastAsia" w:hAnsiTheme="majorHAnsi" w:cstheme="majorHAnsi"/>
      <w:b/>
      <w:bCs/>
      <w:color w:val="013F84" w:themeColor="accent1"/>
      <w:szCs w:val="22"/>
      <w:lang w:val="en-GB"/>
    </w:rPr>
  </w:style>
  <w:style w:type="paragraph" w:styleId="Heading4">
    <w:name w:val="heading 4"/>
    <w:basedOn w:val="Normal"/>
    <w:next w:val="Normal"/>
    <w:link w:val="Heading4Char"/>
    <w:uiPriority w:val="9"/>
    <w:unhideWhenUsed/>
    <w:qFormat/>
    <w:rsid w:val="00A06898"/>
    <w:pPr>
      <w:keepNext/>
      <w:keepLines/>
      <w:spacing w:before="220"/>
      <w:outlineLvl w:val="3"/>
    </w:pPr>
    <w:rPr>
      <w:rFonts w:asciiTheme="majorHAnsi" w:eastAsiaTheme="majorEastAsia" w:hAnsiTheme="majorHAnsi" w:cstheme="majorBidi"/>
      <w:b/>
      <w:bCs/>
      <w:i/>
      <w:iCs/>
      <w:color w:val="013F84" w:themeColor="accent1"/>
      <w:lang w:val="en-GB"/>
    </w:rPr>
  </w:style>
  <w:style w:type="paragraph" w:styleId="Heading5">
    <w:name w:val="heading 5"/>
    <w:basedOn w:val="Normal"/>
    <w:next w:val="Normal"/>
    <w:link w:val="Heading5Char"/>
    <w:uiPriority w:val="9"/>
    <w:unhideWhenUsed/>
    <w:qFormat/>
    <w:rsid w:val="00B73A3A"/>
    <w:pPr>
      <w:keepNext/>
      <w:keepLines/>
      <w:spacing w:before="200" w:after="0"/>
      <w:outlineLvl w:val="4"/>
    </w:pPr>
    <w:rPr>
      <w:rFonts w:asciiTheme="majorHAnsi" w:eastAsiaTheme="majorEastAsia" w:hAnsiTheme="majorHAnsi" w:cstheme="majorBidi"/>
      <w:color w:val="001F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2D2"/>
    <w:pPr>
      <w:tabs>
        <w:tab w:val="center" w:pos="4513"/>
        <w:tab w:val="right" w:pos="9026"/>
      </w:tabs>
    </w:pPr>
  </w:style>
  <w:style w:type="character" w:customStyle="1" w:styleId="HeaderChar">
    <w:name w:val="Header Char"/>
    <w:basedOn w:val="DefaultParagraphFont"/>
    <w:link w:val="Header"/>
    <w:uiPriority w:val="99"/>
    <w:rsid w:val="00CA52D2"/>
  </w:style>
  <w:style w:type="paragraph" w:styleId="Footer">
    <w:name w:val="footer"/>
    <w:basedOn w:val="Normal"/>
    <w:link w:val="FooterChar"/>
    <w:uiPriority w:val="99"/>
    <w:unhideWhenUsed/>
    <w:rsid w:val="00CA52D2"/>
    <w:pPr>
      <w:tabs>
        <w:tab w:val="center" w:pos="4513"/>
        <w:tab w:val="right" w:pos="9026"/>
      </w:tabs>
    </w:pPr>
  </w:style>
  <w:style w:type="character" w:customStyle="1" w:styleId="FooterChar">
    <w:name w:val="Footer Char"/>
    <w:basedOn w:val="DefaultParagraphFont"/>
    <w:link w:val="Footer"/>
    <w:uiPriority w:val="99"/>
    <w:rsid w:val="00CA52D2"/>
  </w:style>
  <w:style w:type="paragraph" w:styleId="BalloonText">
    <w:name w:val="Balloon Text"/>
    <w:basedOn w:val="Normal"/>
    <w:link w:val="BalloonTextChar"/>
    <w:uiPriority w:val="99"/>
    <w:semiHidden/>
    <w:unhideWhenUsed/>
    <w:rsid w:val="00C55D38"/>
    <w:rPr>
      <w:rFonts w:ascii="Tahoma" w:hAnsi="Tahoma" w:cs="Tahoma"/>
      <w:sz w:val="16"/>
      <w:szCs w:val="16"/>
    </w:rPr>
  </w:style>
  <w:style w:type="character" w:customStyle="1" w:styleId="BalloonTextChar">
    <w:name w:val="Balloon Text Char"/>
    <w:basedOn w:val="DefaultParagraphFont"/>
    <w:link w:val="BalloonText"/>
    <w:uiPriority w:val="99"/>
    <w:semiHidden/>
    <w:rsid w:val="00C55D38"/>
    <w:rPr>
      <w:rFonts w:ascii="Tahoma" w:hAnsi="Tahoma" w:cs="Tahoma"/>
      <w:sz w:val="16"/>
      <w:szCs w:val="16"/>
    </w:rPr>
  </w:style>
  <w:style w:type="table" w:styleId="TableGrid">
    <w:name w:val="Table Grid"/>
    <w:basedOn w:val="TableNormal"/>
    <w:uiPriority w:val="59"/>
    <w:rsid w:val="000A2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2FA8"/>
    <w:rPr>
      <w:color w:val="0068B4" w:themeColor="hyperlink"/>
      <w:u w:val="single"/>
    </w:rPr>
  </w:style>
  <w:style w:type="paragraph" w:styleId="ListParagraph">
    <w:name w:val="List Paragraph"/>
    <w:basedOn w:val="Normal"/>
    <w:uiPriority w:val="34"/>
    <w:qFormat/>
    <w:rsid w:val="00351BDE"/>
    <w:pPr>
      <w:spacing w:after="200" w:line="276" w:lineRule="auto"/>
      <w:ind w:left="720"/>
      <w:contextualSpacing/>
    </w:pPr>
    <w:rPr>
      <w:szCs w:val="22"/>
      <w:lang w:val="en-GB"/>
    </w:rPr>
  </w:style>
  <w:style w:type="character" w:customStyle="1" w:styleId="Heading3Char">
    <w:name w:val="Heading 3 Char"/>
    <w:basedOn w:val="DefaultParagraphFont"/>
    <w:link w:val="Heading3"/>
    <w:uiPriority w:val="9"/>
    <w:rsid w:val="00587EAD"/>
    <w:rPr>
      <w:rFonts w:asciiTheme="majorHAnsi" w:eastAsiaTheme="majorEastAsia" w:hAnsiTheme="majorHAnsi" w:cstheme="majorHAnsi"/>
      <w:b/>
      <w:bCs/>
      <w:color w:val="013F84" w:themeColor="accent1"/>
      <w:sz w:val="22"/>
      <w:szCs w:val="22"/>
      <w:lang w:val="en-GB"/>
    </w:rPr>
  </w:style>
  <w:style w:type="paragraph" w:styleId="NoSpacing">
    <w:name w:val="No Spacing"/>
    <w:uiPriority w:val="1"/>
    <w:qFormat/>
    <w:rsid w:val="00587EAD"/>
    <w:rPr>
      <w:sz w:val="22"/>
    </w:rPr>
  </w:style>
  <w:style w:type="character" w:customStyle="1" w:styleId="Heading1Char">
    <w:name w:val="Heading 1 Char"/>
    <w:basedOn w:val="DefaultParagraphFont"/>
    <w:link w:val="Heading1"/>
    <w:uiPriority w:val="9"/>
    <w:rsid w:val="0078092E"/>
    <w:rPr>
      <w:rFonts w:asciiTheme="majorHAnsi" w:eastAsiaTheme="majorEastAsia" w:hAnsiTheme="majorHAnsi" w:cstheme="majorBidi"/>
      <w:b/>
      <w:bCs/>
      <w:color w:val="002E62" w:themeColor="accent1" w:themeShade="BF"/>
      <w:sz w:val="28"/>
      <w:szCs w:val="28"/>
      <w:lang w:val="en-GB"/>
    </w:rPr>
  </w:style>
  <w:style w:type="character" w:styleId="SubtleEmphasis">
    <w:name w:val="Subtle Emphasis"/>
    <w:basedOn w:val="DefaultParagraphFont"/>
    <w:uiPriority w:val="19"/>
    <w:qFormat/>
    <w:rsid w:val="00587EAD"/>
    <w:rPr>
      <w:i/>
      <w:iCs/>
      <w:color w:val="9AADBD" w:themeColor="text1" w:themeTint="7F"/>
    </w:rPr>
  </w:style>
  <w:style w:type="character" w:customStyle="1" w:styleId="Heading2Char">
    <w:name w:val="Heading 2 Char"/>
    <w:basedOn w:val="DefaultParagraphFont"/>
    <w:link w:val="Heading2"/>
    <w:uiPriority w:val="9"/>
    <w:rsid w:val="0078092E"/>
    <w:rPr>
      <w:rFonts w:asciiTheme="majorHAnsi" w:eastAsiaTheme="majorEastAsia" w:hAnsiTheme="majorHAnsi" w:cstheme="majorBidi"/>
      <w:b/>
      <w:bCs/>
      <w:color w:val="013F84" w:themeColor="accent1"/>
      <w:sz w:val="26"/>
      <w:szCs w:val="26"/>
    </w:rPr>
  </w:style>
  <w:style w:type="table" w:styleId="LightGrid-Accent1">
    <w:name w:val="Light Grid Accent 1"/>
    <w:basedOn w:val="TableNormal"/>
    <w:uiPriority w:val="62"/>
    <w:rsid w:val="00D10666"/>
    <w:tblPr>
      <w:tblStyleRowBandSize w:val="1"/>
      <w:tblStyleColBandSize w:val="1"/>
      <w:tblBorders>
        <w:top w:val="single" w:sz="8" w:space="0" w:color="013F84" w:themeColor="accent1"/>
        <w:left w:val="single" w:sz="8" w:space="0" w:color="013F84" w:themeColor="accent1"/>
        <w:bottom w:val="single" w:sz="8" w:space="0" w:color="013F84" w:themeColor="accent1"/>
        <w:right w:val="single" w:sz="8" w:space="0" w:color="013F84" w:themeColor="accent1"/>
        <w:insideH w:val="single" w:sz="8" w:space="0" w:color="013F84" w:themeColor="accent1"/>
        <w:insideV w:val="single" w:sz="8" w:space="0" w:color="013F8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3F84" w:themeColor="accent1"/>
          <w:left w:val="single" w:sz="8" w:space="0" w:color="013F84" w:themeColor="accent1"/>
          <w:bottom w:val="single" w:sz="18" w:space="0" w:color="013F84" w:themeColor="accent1"/>
          <w:right w:val="single" w:sz="8" w:space="0" w:color="013F84" w:themeColor="accent1"/>
          <w:insideH w:val="nil"/>
          <w:insideV w:val="single" w:sz="8" w:space="0" w:color="013F8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3F84" w:themeColor="accent1"/>
          <w:left w:val="single" w:sz="8" w:space="0" w:color="013F84" w:themeColor="accent1"/>
          <w:bottom w:val="single" w:sz="8" w:space="0" w:color="013F84" w:themeColor="accent1"/>
          <w:right w:val="single" w:sz="8" w:space="0" w:color="013F84" w:themeColor="accent1"/>
          <w:insideH w:val="nil"/>
          <w:insideV w:val="single" w:sz="8" w:space="0" w:color="013F8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3F84" w:themeColor="accent1"/>
          <w:left w:val="single" w:sz="8" w:space="0" w:color="013F84" w:themeColor="accent1"/>
          <w:bottom w:val="single" w:sz="8" w:space="0" w:color="013F84" w:themeColor="accent1"/>
          <w:right w:val="single" w:sz="8" w:space="0" w:color="013F84" w:themeColor="accent1"/>
        </w:tcBorders>
      </w:tcPr>
    </w:tblStylePr>
    <w:tblStylePr w:type="band1Vert">
      <w:tblPr/>
      <w:tcPr>
        <w:tcBorders>
          <w:top w:val="single" w:sz="8" w:space="0" w:color="013F84" w:themeColor="accent1"/>
          <w:left w:val="single" w:sz="8" w:space="0" w:color="013F84" w:themeColor="accent1"/>
          <w:bottom w:val="single" w:sz="8" w:space="0" w:color="013F84" w:themeColor="accent1"/>
          <w:right w:val="single" w:sz="8" w:space="0" w:color="013F84" w:themeColor="accent1"/>
        </w:tcBorders>
        <w:shd w:val="clear" w:color="auto" w:fill="A2CDFE" w:themeFill="accent1" w:themeFillTint="3F"/>
      </w:tcPr>
    </w:tblStylePr>
    <w:tblStylePr w:type="band1Horz">
      <w:tblPr/>
      <w:tcPr>
        <w:tcBorders>
          <w:top w:val="single" w:sz="8" w:space="0" w:color="013F84" w:themeColor="accent1"/>
          <w:left w:val="single" w:sz="8" w:space="0" w:color="013F84" w:themeColor="accent1"/>
          <w:bottom w:val="single" w:sz="8" w:space="0" w:color="013F84" w:themeColor="accent1"/>
          <w:right w:val="single" w:sz="8" w:space="0" w:color="013F84" w:themeColor="accent1"/>
          <w:insideV w:val="single" w:sz="8" w:space="0" w:color="013F84" w:themeColor="accent1"/>
        </w:tcBorders>
        <w:shd w:val="clear" w:color="auto" w:fill="A2CDFE" w:themeFill="accent1" w:themeFillTint="3F"/>
      </w:tcPr>
    </w:tblStylePr>
    <w:tblStylePr w:type="band2Horz">
      <w:tblPr/>
      <w:tcPr>
        <w:tcBorders>
          <w:top w:val="single" w:sz="8" w:space="0" w:color="013F84" w:themeColor="accent1"/>
          <w:left w:val="single" w:sz="8" w:space="0" w:color="013F84" w:themeColor="accent1"/>
          <w:bottom w:val="single" w:sz="8" w:space="0" w:color="013F84" w:themeColor="accent1"/>
          <w:right w:val="single" w:sz="8" w:space="0" w:color="013F84" w:themeColor="accent1"/>
          <w:insideV w:val="single" w:sz="8" w:space="0" w:color="013F84" w:themeColor="accent1"/>
        </w:tcBorders>
      </w:tcPr>
    </w:tblStylePr>
  </w:style>
  <w:style w:type="character" w:customStyle="1" w:styleId="Heading4Char">
    <w:name w:val="Heading 4 Char"/>
    <w:basedOn w:val="DefaultParagraphFont"/>
    <w:link w:val="Heading4"/>
    <w:uiPriority w:val="9"/>
    <w:rsid w:val="00A06898"/>
    <w:rPr>
      <w:rFonts w:asciiTheme="majorHAnsi" w:eastAsiaTheme="majorEastAsia" w:hAnsiTheme="majorHAnsi" w:cstheme="majorBidi"/>
      <w:b/>
      <w:bCs/>
      <w:i/>
      <w:iCs/>
      <w:color w:val="013F84" w:themeColor="accent1"/>
      <w:sz w:val="22"/>
      <w:lang w:val="en-GB"/>
    </w:rPr>
  </w:style>
  <w:style w:type="character" w:customStyle="1" w:styleId="Heading5Char">
    <w:name w:val="Heading 5 Char"/>
    <w:basedOn w:val="DefaultParagraphFont"/>
    <w:link w:val="Heading5"/>
    <w:uiPriority w:val="9"/>
    <w:rsid w:val="00B73A3A"/>
    <w:rPr>
      <w:rFonts w:asciiTheme="majorHAnsi" w:eastAsiaTheme="majorEastAsia" w:hAnsiTheme="majorHAnsi" w:cstheme="majorBidi"/>
      <w:color w:val="001F41"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8494">
      <w:bodyDiv w:val="1"/>
      <w:marLeft w:val="0"/>
      <w:marRight w:val="0"/>
      <w:marTop w:val="0"/>
      <w:marBottom w:val="0"/>
      <w:divBdr>
        <w:top w:val="none" w:sz="0" w:space="0" w:color="auto"/>
        <w:left w:val="none" w:sz="0" w:space="0" w:color="auto"/>
        <w:bottom w:val="none" w:sz="0" w:space="0" w:color="auto"/>
        <w:right w:val="none" w:sz="0" w:space="0" w:color="auto"/>
      </w:divBdr>
    </w:div>
    <w:div w:id="59788757">
      <w:bodyDiv w:val="1"/>
      <w:marLeft w:val="0"/>
      <w:marRight w:val="0"/>
      <w:marTop w:val="0"/>
      <w:marBottom w:val="0"/>
      <w:divBdr>
        <w:top w:val="none" w:sz="0" w:space="0" w:color="auto"/>
        <w:left w:val="none" w:sz="0" w:space="0" w:color="auto"/>
        <w:bottom w:val="none" w:sz="0" w:space="0" w:color="auto"/>
        <w:right w:val="none" w:sz="0" w:space="0" w:color="auto"/>
      </w:divBdr>
    </w:div>
    <w:div w:id="278875400">
      <w:bodyDiv w:val="1"/>
      <w:marLeft w:val="0"/>
      <w:marRight w:val="0"/>
      <w:marTop w:val="0"/>
      <w:marBottom w:val="0"/>
      <w:divBdr>
        <w:top w:val="none" w:sz="0" w:space="0" w:color="auto"/>
        <w:left w:val="none" w:sz="0" w:space="0" w:color="auto"/>
        <w:bottom w:val="none" w:sz="0" w:space="0" w:color="auto"/>
        <w:right w:val="none" w:sz="0" w:space="0" w:color="auto"/>
      </w:divBdr>
    </w:div>
    <w:div w:id="379748035">
      <w:bodyDiv w:val="1"/>
      <w:marLeft w:val="0"/>
      <w:marRight w:val="0"/>
      <w:marTop w:val="0"/>
      <w:marBottom w:val="0"/>
      <w:divBdr>
        <w:top w:val="none" w:sz="0" w:space="0" w:color="auto"/>
        <w:left w:val="none" w:sz="0" w:space="0" w:color="auto"/>
        <w:bottom w:val="none" w:sz="0" w:space="0" w:color="auto"/>
        <w:right w:val="none" w:sz="0" w:space="0" w:color="auto"/>
      </w:divBdr>
      <w:divsChild>
        <w:div w:id="1572350508">
          <w:marLeft w:val="547"/>
          <w:marRight w:val="0"/>
          <w:marTop w:val="115"/>
          <w:marBottom w:val="0"/>
          <w:divBdr>
            <w:top w:val="none" w:sz="0" w:space="0" w:color="auto"/>
            <w:left w:val="none" w:sz="0" w:space="0" w:color="auto"/>
            <w:bottom w:val="none" w:sz="0" w:space="0" w:color="auto"/>
            <w:right w:val="none" w:sz="0" w:space="0" w:color="auto"/>
          </w:divBdr>
        </w:div>
        <w:div w:id="1665087646">
          <w:marLeft w:val="547"/>
          <w:marRight w:val="0"/>
          <w:marTop w:val="115"/>
          <w:marBottom w:val="0"/>
          <w:divBdr>
            <w:top w:val="none" w:sz="0" w:space="0" w:color="auto"/>
            <w:left w:val="none" w:sz="0" w:space="0" w:color="auto"/>
            <w:bottom w:val="none" w:sz="0" w:space="0" w:color="auto"/>
            <w:right w:val="none" w:sz="0" w:space="0" w:color="auto"/>
          </w:divBdr>
        </w:div>
        <w:div w:id="1008677691">
          <w:marLeft w:val="547"/>
          <w:marRight w:val="0"/>
          <w:marTop w:val="115"/>
          <w:marBottom w:val="0"/>
          <w:divBdr>
            <w:top w:val="none" w:sz="0" w:space="0" w:color="auto"/>
            <w:left w:val="none" w:sz="0" w:space="0" w:color="auto"/>
            <w:bottom w:val="none" w:sz="0" w:space="0" w:color="auto"/>
            <w:right w:val="none" w:sz="0" w:space="0" w:color="auto"/>
          </w:divBdr>
        </w:div>
        <w:div w:id="1915897547">
          <w:marLeft w:val="547"/>
          <w:marRight w:val="0"/>
          <w:marTop w:val="115"/>
          <w:marBottom w:val="0"/>
          <w:divBdr>
            <w:top w:val="none" w:sz="0" w:space="0" w:color="auto"/>
            <w:left w:val="none" w:sz="0" w:space="0" w:color="auto"/>
            <w:bottom w:val="none" w:sz="0" w:space="0" w:color="auto"/>
            <w:right w:val="none" w:sz="0" w:space="0" w:color="auto"/>
          </w:divBdr>
        </w:div>
        <w:div w:id="1194688193">
          <w:marLeft w:val="547"/>
          <w:marRight w:val="0"/>
          <w:marTop w:val="115"/>
          <w:marBottom w:val="0"/>
          <w:divBdr>
            <w:top w:val="none" w:sz="0" w:space="0" w:color="auto"/>
            <w:left w:val="none" w:sz="0" w:space="0" w:color="auto"/>
            <w:bottom w:val="none" w:sz="0" w:space="0" w:color="auto"/>
            <w:right w:val="none" w:sz="0" w:space="0" w:color="auto"/>
          </w:divBdr>
        </w:div>
        <w:div w:id="1815095726">
          <w:marLeft w:val="547"/>
          <w:marRight w:val="0"/>
          <w:marTop w:val="115"/>
          <w:marBottom w:val="0"/>
          <w:divBdr>
            <w:top w:val="none" w:sz="0" w:space="0" w:color="auto"/>
            <w:left w:val="none" w:sz="0" w:space="0" w:color="auto"/>
            <w:bottom w:val="none" w:sz="0" w:space="0" w:color="auto"/>
            <w:right w:val="none" w:sz="0" w:space="0" w:color="auto"/>
          </w:divBdr>
        </w:div>
      </w:divsChild>
    </w:div>
    <w:div w:id="505444023">
      <w:bodyDiv w:val="1"/>
      <w:marLeft w:val="0"/>
      <w:marRight w:val="0"/>
      <w:marTop w:val="0"/>
      <w:marBottom w:val="0"/>
      <w:divBdr>
        <w:top w:val="none" w:sz="0" w:space="0" w:color="auto"/>
        <w:left w:val="none" w:sz="0" w:space="0" w:color="auto"/>
        <w:bottom w:val="none" w:sz="0" w:space="0" w:color="auto"/>
        <w:right w:val="none" w:sz="0" w:space="0" w:color="auto"/>
      </w:divBdr>
    </w:div>
    <w:div w:id="756711396">
      <w:bodyDiv w:val="1"/>
      <w:marLeft w:val="0"/>
      <w:marRight w:val="0"/>
      <w:marTop w:val="0"/>
      <w:marBottom w:val="0"/>
      <w:divBdr>
        <w:top w:val="none" w:sz="0" w:space="0" w:color="auto"/>
        <w:left w:val="none" w:sz="0" w:space="0" w:color="auto"/>
        <w:bottom w:val="none" w:sz="0" w:space="0" w:color="auto"/>
        <w:right w:val="none" w:sz="0" w:space="0" w:color="auto"/>
      </w:divBdr>
    </w:div>
    <w:div w:id="869492941">
      <w:bodyDiv w:val="1"/>
      <w:marLeft w:val="0"/>
      <w:marRight w:val="0"/>
      <w:marTop w:val="0"/>
      <w:marBottom w:val="0"/>
      <w:divBdr>
        <w:top w:val="none" w:sz="0" w:space="0" w:color="auto"/>
        <w:left w:val="none" w:sz="0" w:space="0" w:color="auto"/>
        <w:bottom w:val="none" w:sz="0" w:space="0" w:color="auto"/>
        <w:right w:val="none" w:sz="0" w:space="0" w:color="auto"/>
      </w:divBdr>
    </w:div>
    <w:div w:id="902908012">
      <w:bodyDiv w:val="1"/>
      <w:marLeft w:val="0"/>
      <w:marRight w:val="0"/>
      <w:marTop w:val="0"/>
      <w:marBottom w:val="0"/>
      <w:divBdr>
        <w:top w:val="none" w:sz="0" w:space="0" w:color="auto"/>
        <w:left w:val="none" w:sz="0" w:space="0" w:color="auto"/>
        <w:bottom w:val="none" w:sz="0" w:space="0" w:color="auto"/>
        <w:right w:val="none" w:sz="0" w:space="0" w:color="auto"/>
      </w:divBdr>
    </w:div>
    <w:div w:id="932326766">
      <w:bodyDiv w:val="1"/>
      <w:marLeft w:val="0"/>
      <w:marRight w:val="0"/>
      <w:marTop w:val="0"/>
      <w:marBottom w:val="0"/>
      <w:divBdr>
        <w:top w:val="none" w:sz="0" w:space="0" w:color="auto"/>
        <w:left w:val="none" w:sz="0" w:space="0" w:color="auto"/>
        <w:bottom w:val="none" w:sz="0" w:space="0" w:color="auto"/>
        <w:right w:val="none" w:sz="0" w:space="0" w:color="auto"/>
      </w:divBdr>
    </w:div>
    <w:div w:id="1132862936">
      <w:bodyDiv w:val="1"/>
      <w:marLeft w:val="0"/>
      <w:marRight w:val="0"/>
      <w:marTop w:val="0"/>
      <w:marBottom w:val="0"/>
      <w:divBdr>
        <w:top w:val="none" w:sz="0" w:space="0" w:color="auto"/>
        <w:left w:val="none" w:sz="0" w:space="0" w:color="auto"/>
        <w:bottom w:val="none" w:sz="0" w:space="0" w:color="auto"/>
        <w:right w:val="none" w:sz="0" w:space="0" w:color="auto"/>
      </w:divBdr>
    </w:div>
    <w:div w:id="1521972578">
      <w:bodyDiv w:val="1"/>
      <w:marLeft w:val="0"/>
      <w:marRight w:val="0"/>
      <w:marTop w:val="0"/>
      <w:marBottom w:val="0"/>
      <w:divBdr>
        <w:top w:val="none" w:sz="0" w:space="0" w:color="auto"/>
        <w:left w:val="none" w:sz="0" w:space="0" w:color="auto"/>
        <w:bottom w:val="none" w:sz="0" w:space="0" w:color="auto"/>
        <w:right w:val="none" w:sz="0" w:space="0" w:color="auto"/>
      </w:divBdr>
    </w:div>
    <w:div w:id="1595747303">
      <w:bodyDiv w:val="1"/>
      <w:marLeft w:val="0"/>
      <w:marRight w:val="0"/>
      <w:marTop w:val="0"/>
      <w:marBottom w:val="0"/>
      <w:divBdr>
        <w:top w:val="none" w:sz="0" w:space="0" w:color="auto"/>
        <w:left w:val="none" w:sz="0" w:space="0" w:color="auto"/>
        <w:bottom w:val="none" w:sz="0" w:space="0" w:color="auto"/>
        <w:right w:val="none" w:sz="0" w:space="0" w:color="auto"/>
      </w:divBdr>
    </w:div>
    <w:div w:id="1671830718">
      <w:bodyDiv w:val="1"/>
      <w:marLeft w:val="0"/>
      <w:marRight w:val="0"/>
      <w:marTop w:val="0"/>
      <w:marBottom w:val="0"/>
      <w:divBdr>
        <w:top w:val="none" w:sz="0" w:space="0" w:color="auto"/>
        <w:left w:val="none" w:sz="0" w:space="0" w:color="auto"/>
        <w:bottom w:val="none" w:sz="0" w:space="0" w:color="auto"/>
        <w:right w:val="none" w:sz="0" w:space="0" w:color="auto"/>
      </w:divBdr>
    </w:div>
    <w:div w:id="1717315727">
      <w:bodyDiv w:val="1"/>
      <w:marLeft w:val="0"/>
      <w:marRight w:val="0"/>
      <w:marTop w:val="0"/>
      <w:marBottom w:val="0"/>
      <w:divBdr>
        <w:top w:val="none" w:sz="0" w:space="0" w:color="auto"/>
        <w:left w:val="none" w:sz="0" w:space="0" w:color="auto"/>
        <w:bottom w:val="none" w:sz="0" w:space="0" w:color="auto"/>
        <w:right w:val="none" w:sz="0" w:space="0" w:color="auto"/>
      </w:divBdr>
    </w:div>
    <w:div w:id="1819810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eahsn.net/frailty" TargetMode="External"/><Relationship Id="rId18" Type="http://schemas.openxmlformats.org/officeDocument/2006/relationships/hyperlink" Target="http://mail.futurelearn.com/re?l=D0IarunnwI3adei0kI3" TargetMode="External"/><Relationship Id="rId26" Type="http://schemas.openxmlformats.org/officeDocument/2006/relationships/hyperlink" Target="http://mail.futurelearn.com/re?l=D0IarunnwI3adei0kId" TargetMode="External"/><Relationship Id="rId39" Type="http://schemas.openxmlformats.org/officeDocument/2006/relationships/hyperlink" Target="http://mail.futurelearn.com/re?l=D0IarunnwI3adei0kIt" TargetMode="External"/><Relationship Id="rId3" Type="http://schemas.microsoft.com/office/2007/relationships/stylesWithEffects" Target="stylesWithEffects.xml"/><Relationship Id="rId21" Type="http://schemas.openxmlformats.org/officeDocument/2006/relationships/hyperlink" Target="http://mail.futurelearn.com/re?l=D0IarunnwI3adei0kI7" TargetMode="External"/><Relationship Id="rId34" Type="http://schemas.openxmlformats.org/officeDocument/2006/relationships/hyperlink" Target="http://mail.futurelearn.com/re?l=D0IarunnwI3adei0kIn"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1.uwe.ac.uk/business/degreeapprenticeships/currentdegreeapprenticeships/advancedclinicalpractitioner.aspx" TargetMode="External"/><Relationship Id="rId17" Type="http://schemas.openxmlformats.org/officeDocument/2006/relationships/hyperlink" Target="http://mail.futurelearn.com/re?l=D0IarunnwI3adei0kI2" TargetMode="External"/><Relationship Id="rId25" Type="http://schemas.openxmlformats.org/officeDocument/2006/relationships/hyperlink" Target="http://mail.futurelearn.com/re?l=D0IarunnwI3adei0kIc" TargetMode="External"/><Relationship Id="rId33" Type="http://schemas.openxmlformats.org/officeDocument/2006/relationships/hyperlink" Target="http://mail.futurelearn.com/re?l=D0IarunnwI3adei0kIm" TargetMode="External"/><Relationship Id="rId38" Type="http://schemas.openxmlformats.org/officeDocument/2006/relationships/hyperlink" Target="http://mail.futurelearn.com/re?l=D0IarunnwI3adei0kIs"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gif"/><Relationship Id="rId20" Type="http://schemas.openxmlformats.org/officeDocument/2006/relationships/hyperlink" Target="http://mail.futurelearn.com/re?l=D0IarunnwI3adei0kI5" TargetMode="External"/><Relationship Id="rId29" Type="http://schemas.openxmlformats.org/officeDocument/2006/relationships/hyperlink" Target="http://mail.futurelearn.com/re?l=D0IarunnwI3adei0kIh" TargetMode="External"/><Relationship Id="rId41" Type="http://schemas.openxmlformats.org/officeDocument/2006/relationships/hyperlink" Target="https://www.hyvr.co.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bsms.ac.uk/research/neuroscience/cds/research/demqol.aspx" TargetMode="External"/><Relationship Id="rId24" Type="http://schemas.openxmlformats.org/officeDocument/2006/relationships/hyperlink" Target="http://mail.futurelearn.com/re?l=D0IarunnwI3adei0kIa" TargetMode="External"/><Relationship Id="rId32" Type="http://schemas.openxmlformats.org/officeDocument/2006/relationships/hyperlink" Target="http://mail.futurelearn.com/re?l=D0IarunnwI3adei0kIk" TargetMode="External"/><Relationship Id="rId37" Type="http://schemas.openxmlformats.org/officeDocument/2006/relationships/hyperlink" Target="http://mail.futurelearn.com/re?l=D0IarunnwI3adei0kIr" TargetMode="External"/><Relationship Id="rId40" Type="http://schemas.openxmlformats.org/officeDocument/2006/relationships/hyperlink" Target="http://mail.futurelearn.com/re?l=D0IarunnwI3adei0kI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deasfestival.co.uk/events/nicci-gerrard/" TargetMode="External"/><Relationship Id="rId23" Type="http://schemas.openxmlformats.org/officeDocument/2006/relationships/hyperlink" Target="http://mail.futurelearn.com/re?l=D0IarunnwI3adei0kI9" TargetMode="External"/><Relationship Id="rId28" Type="http://schemas.openxmlformats.org/officeDocument/2006/relationships/hyperlink" Target="http://mail.futurelearn.com/re?l=D0IarunnwI3adei0kIf" TargetMode="External"/><Relationship Id="rId36" Type="http://schemas.openxmlformats.org/officeDocument/2006/relationships/hyperlink" Target="http://mail.futurelearn.com/re?l=D0IarunnwI3adei0kIp" TargetMode="External"/><Relationship Id="rId10" Type="http://schemas.openxmlformats.org/officeDocument/2006/relationships/hyperlink" Target="https://www.thisinstitute.cam.ac.uk/research-articles/can-comprehensive-geriatric-assessment-delivered-without-need-geriatricians-formative-evaluation-two-perioperative-surgical-settings/" TargetMode="External"/><Relationship Id="rId19" Type="http://schemas.openxmlformats.org/officeDocument/2006/relationships/hyperlink" Target="http://mail.futurelearn.com/re?l=D0IarunnwI3adei0kI4" TargetMode="External"/><Relationship Id="rId31" Type="http://schemas.openxmlformats.org/officeDocument/2006/relationships/hyperlink" Target="http://mail.futurelearn.com/re?l=D0IarunnwI3adei0kIj"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bgs.org.uk/topics/cga-in-community-settings" TargetMode="External"/><Relationship Id="rId14" Type="http://schemas.openxmlformats.org/officeDocument/2006/relationships/hyperlink" Target="https://wessexahsn.org.uk/projects/303/focus-on-frailty-2019-conference-resources" TargetMode="External"/><Relationship Id="rId22" Type="http://schemas.openxmlformats.org/officeDocument/2006/relationships/hyperlink" Target="http://mail.futurelearn.com/re?l=D0IarunnwI3adei0kI8" TargetMode="External"/><Relationship Id="rId27" Type="http://schemas.openxmlformats.org/officeDocument/2006/relationships/hyperlink" Target="http://mail.futurelearn.com/re?l=D0IarunnwI3adei0kIe" TargetMode="External"/><Relationship Id="rId30" Type="http://schemas.openxmlformats.org/officeDocument/2006/relationships/hyperlink" Target="http://mail.futurelearn.com/re?l=D0IarunnwI3adei0kIi" TargetMode="External"/><Relationship Id="rId35" Type="http://schemas.openxmlformats.org/officeDocument/2006/relationships/hyperlink" Target="http://mail.futurelearn.com/re?l=D0IarunnwI3adei0kIo" TargetMode="External"/><Relationship Id="rId43"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PSC">
      <a:dk1>
        <a:srgbClr val="465A6C"/>
      </a:dk1>
      <a:lt1>
        <a:srgbClr val="FFFFFF"/>
      </a:lt1>
      <a:dk2>
        <a:srgbClr val="44546A"/>
      </a:dk2>
      <a:lt2>
        <a:srgbClr val="EEF2F3"/>
      </a:lt2>
      <a:accent1>
        <a:srgbClr val="013F84"/>
      </a:accent1>
      <a:accent2>
        <a:srgbClr val="029D96"/>
      </a:accent2>
      <a:accent3>
        <a:srgbClr val="0068B4"/>
      </a:accent3>
      <a:accent4>
        <a:srgbClr val="00A7D6"/>
      </a:accent4>
      <a:accent5>
        <a:srgbClr val="462B7E"/>
      </a:accent5>
      <a:accent6>
        <a:srgbClr val="34BCEE"/>
      </a:accent6>
      <a:hlink>
        <a:srgbClr val="0068B4"/>
      </a:hlink>
      <a:folHlink>
        <a:srgbClr val="029D9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1738</Words>
  <Characters>9909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11624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nathalie.delaney</dc:creator>
  <cp:lastModifiedBy>Lauren.Hoskin</cp:lastModifiedBy>
  <cp:revision>2</cp:revision>
  <cp:lastPrinted>2018-11-30T13:45:00Z</cp:lastPrinted>
  <dcterms:created xsi:type="dcterms:W3CDTF">2019-07-25T13:40:00Z</dcterms:created>
  <dcterms:modified xsi:type="dcterms:W3CDTF">2019-07-25T13:40:00Z</dcterms:modified>
</cp:coreProperties>
</file>